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30DCFC" w14:textId="0DA5EB51" w:rsidR="00CC00D4" w:rsidRDefault="00C13356" w:rsidP="00CC00D4">
      <w:pPr>
        <w:pStyle w:val="Titolo3"/>
        <w:sectPr w:rsidR="00CC00D4" w:rsidSect="0000465F">
          <w:headerReference w:type="default" r:id="rId8"/>
          <w:footerReference w:type="default" r:id="rId9"/>
          <w:pgSz w:w="11906" w:h="16838"/>
          <w:pgMar w:top="1418" w:right="1134" w:bottom="1134" w:left="1134" w:header="709" w:footer="709" w:gutter="0"/>
          <w:cols w:space="708"/>
          <w:titlePg/>
          <w:docGrid w:linePitch="360"/>
        </w:sectPr>
      </w:pPr>
      <w:r>
        <w:rPr>
          <w:noProof/>
        </w:rPr>
        <w:drawing>
          <wp:anchor distT="0" distB="0" distL="114300" distR="114300" simplePos="0" relativeHeight="251665408" behindDoc="1" locked="0" layoutInCell="1" allowOverlap="1" wp14:anchorId="3141438A" wp14:editId="25A51431">
            <wp:simplePos x="0" y="0"/>
            <wp:positionH relativeFrom="page">
              <wp:align>right</wp:align>
            </wp:positionH>
            <wp:positionV relativeFrom="paragraph">
              <wp:posOffset>-900545</wp:posOffset>
            </wp:positionV>
            <wp:extent cx="7550727" cy="10680542"/>
            <wp:effectExtent l="0" t="0" r="0" b="698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0">
                      <a:extLst>
                        <a:ext uri="{28A0092B-C50C-407E-A947-70E740481C1C}">
                          <a14:useLocalDpi xmlns:a14="http://schemas.microsoft.com/office/drawing/2010/main" val="0"/>
                        </a:ext>
                      </a:extLst>
                    </a:blip>
                    <a:stretch>
                      <a:fillRect/>
                    </a:stretch>
                  </pic:blipFill>
                  <pic:spPr>
                    <a:xfrm>
                      <a:off x="0" y="0"/>
                      <a:ext cx="7550727" cy="10680542"/>
                    </a:xfrm>
                    <a:prstGeom prst="rect">
                      <a:avLst/>
                    </a:prstGeom>
                  </pic:spPr>
                </pic:pic>
              </a:graphicData>
            </a:graphic>
            <wp14:sizeRelH relativeFrom="margin">
              <wp14:pctWidth>0</wp14:pctWidth>
            </wp14:sizeRelH>
            <wp14:sizeRelV relativeFrom="margin">
              <wp14:pctHeight>0</wp14:pctHeight>
            </wp14:sizeRelV>
          </wp:anchor>
        </w:drawing>
      </w:r>
    </w:p>
    <w:p w14:paraId="209A87BD" w14:textId="77777777" w:rsidR="00CC00D4" w:rsidRPr="009B61B5" w:rsidRDefault="00CC00D4" w:rsidP="00CC00D4">
      <w:pPr>
        <w:spacing w:before="100" w:beforeAutospacing="1" w:after="100" w:afterAutospacing="1" w:line="240" w:lineRule="auto"/>
        <w:ind w:left="720"/>
        <w:rPr>
          <w:rFonts w:cs="Tahoma"/>
          <w:b/>
          <w:bCs/>
          <w:sz w:val="32"/>
          <w:szCs w:val="32"/>
          <w:lang w:eastAsia="it-IT"/>
        </w:rPr>
      </w:pPr>
      <w:r w:rsidRPr="009B61B5">
        <w:rPr>
          <w:rFonts w:cs="Tahoma"/>
          <w:b/>
          <w:bCs/>
          <w:sz w:val="32"/>
          <w:szCs w:val="32"/>
          <w:lang w:eastAsia="it-IT"/>
        </w:rPr>
        <w:lastRenderedPageBreak/>
        <w:t>Paolo Ballanti</w:t>
      </w:r>
    </w:p>
    <w:p w14:paraId="63562F7B" w14:textId="77777777" w:rsidR="00CC00D4" w:rsidRDefault="00CC00D4" w:rsidP="00CC00D4">
      <w:pPr>
        <w:spacing w:before="100" w:beforeAutospacing="1" w:after="100" w:afterAutospacing="1" w:line="240" w:lineRule="auto"/>
        <w:ind w:left="720"/>
        <w:rPr>
          <w:rFonts w:cs="Tahoma"/>
          <w:sz w:val="36"/>
          <w:szCs w:val="36"/>
          <w:lang w:eastAsia="it-IT"/>
        </w:rPr>
      </w:pPr>
    </w:p>
    <w:p w14:paraId="7C686902" w14:textId="2A45BCE8" w:rsidR="00CC00D4" w:rsidRDefault="00CC00D4" w:rsidP="00CC00D4">
      <w:pPr>
        <w:spacing w:before="100" w:beforeAutospacing="1" w:after="100" w:afterAutospacing="1" w:line="240" w:lineRule="auto"/>
        <w:ind w:left="720"/>
        <w:rPr>
          <w:rFonts w:cs="Tahoma"/>
          <w:sz w:val="36"/>
          <w:szCs w:val="36"/>
          <w:lang w:eastAsia="it-IT"/>
        </w:rPr>
      </w:pPr>
    </w:p>
    <w:p w14:paraId="506CE061" w14:textId="1B7877A3" w:rsidR="00CC00D4" w:rsidRDefault="00CC00D4" w:rsidP="00CC00D4">
      <w:pPr>
        <w:spacing w:before="100" w:beforeAutospacing="1" w:after="100" w:afterAutospacing="1" w:line="240" w:lineRule="auto"/>
        <w:ind w:left="720"/>
        <w:rPr>
          <w:rFonts w:cs="Tahoma"/>
          <w:sz w:val="36"/>
          <w:szCs w:val="36"/>
          <w:lang w:eastAsia="it-IT"/>
        </w:rPr>
      </w:pPr>
    </w:p>
    <w:p w14:paraId="77926953" w14:textId="50E0FD60" w:rsidR="00C13356" w:rsidRPr="00C13356" w:rsidRDefault="00C13356" w:rsidP="00C13356">
      <w:pPr>
        <w:spacing w:before="100" w:beforeAutospacing="1" w:after="100" w:afterAutospacing="1" w:line="240" w:lineRule="auto"/>
        <w:ind w:left="720"/>
        <w:jc w:val="center"/>
        <w:rPr>
          <w:rFonts w:cs="Tahoma"/>
          <w:b/>
          <w:bCs/>
          <w:sz w:val="60"/>
          <w:szCs w:val="60"/>
          <w:lang w:eastAsia="it-IT"/>
        </w:rPr>
      </w:pPr>
      <w:r w:rsidRPr="00C13356">
        <w:rPr>
          <w:rFonts w:cs="Tahoma"/>
          <w:b/>
          <w:bCs/>
          <w:sz w:val="60"/>
          <w:szCs w:val="60"/>
          <w:lang w:eastAsia="it-IT"/>
        </w:rPr>
        <w:t>LAVORO AUTONOMO OCCASIONALE</w:t>
      </w:r>
    </w:p>
    <w:p w14:paraId="098E7FF3" w14:textId="77777777" w:rsidR="00C13356" w:rsidRDefault="00C13356" w:rsidP="00CC00D4">
      <w:pPr>
        <w:spacing w:before="100" w:beforeAutospacing="1" w:after="100" w:afterAutospacing="1" w:line="240" w:lineRule="auto"/>
        <w:ind w:left="720"/>
        <w:rPr>
          <w:rFonts w:cs="Tahoma"/>
          <w:sz w:val="36"/>
          <w:szCs w:val="36"/>
          <w:lang w:eastAsia="it-IT"/>
        </w:rPr>
      </w:pPr>
    </w:p>
    <w:p w14:paraId="54D7D975" w14:textId="7ABC0E2B" w:rsidR="00CC00D4" w:rsidRPr="00C13356" w:rsidRDefault="00C13356" w:rsidP="00C13356">
      <w:pPr>
        <w:spacing w:after="0" w:line="240" w:lineRule="auto"/>
        <w:ind w:left="720"/>
        <w:jc w:val="center"/>
        <w:rPr>
          <w:rFonts w:cs="Tahoma"/>
          <w:b/>
          <w:bCs/>
          <w:sz w:val="36"/>
          <w:szCs w:val="36"/>
          <w:lang w:eastAsia="it-IT"/>
        </w:rPr>
      </w:pPr>
      <w:r w:rsidRPr="00C13356">
        <w:rPr>
          <w:rFonts w:cs="Tahoma"/>
          <w:b/>
          <w:bCs/>
          <w:sz w:val="36"/>
          <w:szCs w:val="36"/>
          <w:lang w:eastAsia="it-IT"/>
        </w:rPr>
        <w:t>Guida completa dopo la Legge di Bilancio 2023</w:t>
      </w:r>
    </w:p>
    <w:p w14:paraId="77BE3372" w14:textId="77777777" w:rsidR="00CC00D4" w:rsidRDefault="00CC00D4" w:rsidP="00CC00D4">
      <w:pPr>
        <w:spacing w:after="0" w:line="240" w:lineRule="auto"/>
        <w:ind w:left="720"/>
        <w:jc w:val="center"/>
        <w:rPr>
          <w:rFonts w:cs="Tahoma"/>
          <w:b/>
          <w:bCs/>
          <w:sz w:val="50"/>
          <w:szCs w:val="50"/>
          <w:lang w:eastAsia="it-IT"/>
        </w:rPr>
      </w:pPr>
    </w:p>
    <w:p w14:paraId="56C8835D" w14:textId="77777777" w:rsidR="00CC00D4" w:rsidRDefault="00CC00D4" w:rsidP="00CC00D4">
      <w:pPr>
        <w:spacing w:after="0" w:line="240" w:lineRule="auto"/>
        <w:ind w:left="720"/>
        <w:jc w:val="center"/>
        <w:rPr>
          <w:rFonts w:cs="Tahoma"/>
          <w:b/>
          <w:bCs/>
          <w:sz w:val="50"/>
          <w:szCs w:val="50"/>
          <w:lang w:eastAsia="it-IT"/>
        </w:rPr>
      </w:pPr>
    </w:p>
    <w:p w14:paraId="45C4FA23" w14:textId="77777777" w:rsidR="00CC00D4" w:rsidRPr="003B0C30" w:rsidRDefault="00CC00D4" w:rsidP="00C13356">
      <w:pPr>
        <w:spacing w:after="0" w:line="240" w:lineRule="auto"/>
        <w:rPr>
          <w:rFonts w:cs="Tahoma"/>
          <w:b/>
          <w:bCs/>
          <w:sz w:val="50"/>
          <w:szCs w:val="50"/>
          <w:lang w:eastAsia="it-IT"/>
        </w:rPr>
      </w:pPr>
    </w:p>
    <w:p w14:paraId="148A2DAE" w14:textId="77777777" w:rsidR="00E248EF" w:rsidRPr="00E248EF" w:rsidRDefault="00E248EF">
      <w:pPr>
        <w:numPr>
          <w:ilvl w:val="0"/>
          <w:numId w:val="216"/>
        </w:numPr>
        <w:suppressAutoHyphens w:val="0"/>
        <w:spacing w:before="100" w:beforeAutospacing="1" w:after="100" w:afterAutospacing="1" w:line="240" w:lineRule="auto"/>
        <w:jc w:val="left"/>
        <w:rPr>
          <w:rFonts w:cs="Tahoma"/>
          <w:sz w:val="40"/>
          <w:szCs w:val="40"/>
          <w:lang w:eastAsia="it-IT"/>
        </w:rPr>
      </w:pPr>
      <w:r w:rsidRPr="00E248EF">
        <w:rPr>
          <w:rFonts w:cs="Tahoma"/>
          <w:sz w:val="40"/>
          <w:szCs w:val="40"/>
          <w:lang w:eastAsia="it-IT"/>
        </w:rPr>
        <w:t>I nuovi voucher e come distinguerli</w:t>
      </w:r>
    </w:p>
    <w:p w14:paraId="14073BDD" w14:textId="6126AAEB" w:rsidR="00E248EF" w:rsidRPr="00E248EF" w:rsidRDefault="00E248EF">
      <w:pPr>
        <w:numPr>
          <w:ilvl w:val="0"/>
          <w:numId w:val="216"/>
        </w:numPr>
        <w:suppressAutoHyphens w:val="0"/>
        <w:spacing w:before="100" w:beforeAutospacing="1" w:after="100" w:afterAutospacing="1" w:line="240" w:lineRule="auto"/>
        <w:jc w:val="left"/>
        <w:rPr>
          <w:rFonts w:cs="Tahoma"/>
          <w:sz w:val="40"/>
          <w:szCs w:val="40"/>
          <w:lang w:eastAsia="it-IT"/>
        </w:rPr>
      </w:pPr>
      <w:r w:rsidRPr="00E248EF">
        <w:rPr>
          <w:rFonts w:cs="Tahoma"/>
          <w:sz w:val="40"/>
          <w:szCs w:val="40"/>
          <w:lang w:eastAsia="it-IT"/>
        </w:rPr>
        <w:t xml:space="preserve">Il nuovo congedo parentale e le altre </w:t>
      </w:r>
      <w:r>
        <w:rPr>
          <w:rFonts w:cs="Tahoma"/>
          <w:sz w:val="40"/>
          <w:szCs w:val="40"/>
          <w:lang w:eastAsia="it-IT"/>
        </w:rPr>
        <w:t xml:space="preserve">         </w:t>
      </w:r>
      <w:r w:rsidRPr="00E248EF">
        <w:rPr>
          <w:rFonts w:cs="Tahoma"/>
          <w:sz w:val="40"/>
          <w:szCs w:val="40"/>
          <w:lang w:eastAsia="it-IT"/>
        </w:rPr>
        <w:t>prestazioni INPS</w:t>
      </w:r>
    </w:p>
    <w:p w14:paraId="749043FB" w14:textId="477B69F4" w:rsidR="00E248EF" w:rsidRPr="00E248EF" w:rsidRDefault="00E248EF">
      <w:pPr>
        <w:numPr>
          <w:ilvl w:val="0"/>
          <w:numId w:val="216"/>
        </w:numPr>
        <w:suppressAutoHyphens w:val="0"/>
        <w:spacing w:before="100" w:beforeAutospacing="1" w:after="100" w:afterAutospacing="1" w:line="240" w:lineRule="auto"/>
        <w:jc w:val="left"/>
        <w:rPr>
          <w:rFonts w:cs="Tahoma"/>
          <w:sz w:val="40"/>
          <w:szCs w:val="40"/>
          <w:lang w:eastAsia="it-IT"/>
        </w:rPr>
      </w:pPr>
      <w:r w:rsidRPr="00E248EF">
        <w:rPr>
          <w:rFonts w:cs="Tahoma"/>
          <w:sz w:val="40"/>
          <w:szCs w:val="40"/>
          <w:lang w:eastAsia="it-IT"/>
        </w:rPr>
        <w:t xml:space="preserve">Obbligo di comunicazione preventiva con gli </w:t>
      </w:r>
      <w:r>
        <w:rPr>
          <w:rFonts w:cs="Tahoma"/>
          <w:sz w:val="40"/>
          <w:szCs w:val="40"/>
          <w:lang w:eastAsia="it-IT"/>
        </w:rPr>
        <w:t xml:space="preserve">  </w:t>
      </w:r>
      <w:r w:rsidRPr="00E248EF">
        <w:rPr>
          <w:rFonts w:cs="Tahoma"/>
          <w:sz w:val="40"/>
          <w:szCs w:val="40"/>
          <w:lang w:eastAsia="it-IT"/>
        </w:rPr>
        <w:t>ultimi chiarimenti INL</w:t>
      </w:r>
    </w:p>
    <w:p w14:paraId="2A2F87E8" w14:textId="77777777" w:rsidR="00CC00D4" w:rsidRDefault="00CC00D4" w:rsidP="00CC00D4">
      <w:pPr>
        <w:rPr>
          <w:rFonts w:cs="Tahoma"/>
          <w:szCs w:val="20"/>
        </w:rPr>
        <w:sectPr w:rsidR="00CC00D4" w:rsidSect="0000465F">
          <w:pgSz w:w="11906" w:h="16838"/>
          <w:pgMar w:top="1418" w:right="1134" w:bottom="1134" w:left="1134" w:header="709" w:footer="709" w:gutter="0"/>
          <w:cols w:space="708"/>
          <w:titlePg/>
          <w:docGrid w:linePitch="360"/>
        </w:sectPr>
      </w:pPr>
      <w:r w:rsidRPr="00C227D5">
        <w:rPr>
          <w:rFonts w:cs="Tahoma"/>
          <w:noProof/>
          <w:lang w:val="en-US"/>
        </w:rPr>
        <w:drawing>
          <wp:anchor distT="0" distB="0" distL="114300" distR="114300" simplePos="0" relativeHeight="251664384" behindDoc="1" locked="0" layoutInCell="1" allowOverlap="1" wp14:anchorId="514CA7B9" wp14:editId="792D3879">
            <wp:simplePos x="0" y="0"/>
            <wp:positionH relativeFrom="margin">
              <wp:align>right</wp:align>
            </wp:positionH>
            <wp:positionV relativeFrom="paragraph">
              <wp:posOffset>1799185</wp:posOffset>
            </wp:positionV>
            <wp:extent cx="2477336" cy="679269"/>
            <wp:effectExtent l="0" t="0" r="0" b="698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1">
                      <a:extLst>
                        <a:ext uri="{28A0092B-C50C-407E-A947-70E740481C1C}">
                          <a14:useLocalDpi xmlns:a14="http://schemas.microsoft.com/office/drawing/2010/main" val="0"/>
                        </a:ext>
                      </a:extLst>
                    </a:blip>
                    <a:stretch>
                      <a:fillRect/>
                    </a:stretch>
                  </pic:blipFill>
                  <pic:spPr>
                    <a:xfrm>
                      <a:off x="0" y="0"/>
                      <a:ext cx="2477336" cy="679269"/>
                    </a:xfrm>
                    <a:prstGeom prst="rect">
                      <a:avLst/>
                    </a:prstGeom>
                  </pic:spPr>
                </pic:pic>
              </a:graphicData>
            </a:graphic>
          </wp:anchor>
        </w:drawing>
      </w:r>
    </w:p>
    <w:p w14:paraId="7C7DA658" w14:textId="77777777" w:rsidR="00CC00D4" w:rsidRDefault="00CC00D4" w:rsidP="00CC00D4">
      <w:pPr>
        <w:rPr>
          <w:rFonts w:cs="Tahoma"/>
          <w:szCs w:val="20"/>
        </w:rPr>
        <w:sectPr w:rsidR="00CC00D4" w:rsidSect="0000465F">
          <w:pgSz w:w="11906" w:h="16838"/>
          <w:pgMar w:top="1418" w:right="1134" w:bottom="1134" w:left="1134" w:header="709" w:footer="709" w:gutter="0"/>
          <w:cols w:space="708"/>
          <w:titlePg/>
          <w:docGrid w:linePitch="360"/>
        </w:sectPr>
      </w:pPr>
      <w:r>
        <w:rPr>
          <w:rFonts w:cs="Tahoma"/>
          <w:noProof/>
          <w:szCs w:val="20"/>
        </w:rPr>
        <w:lastRenderedPageBreak/>
        <w:drawing>
          <wp:inline distT="0" distB="0" distL="0" distR="0" wp14:anchorId="04855F1F" wp14:editId="0B9ED825">
            <wp:extent cx="6120130" cy="86569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2C93ECFE" w14:textId="77777777" w:rsidR="00CC00D4" w:rsidRPr="00862327" w:rsidRDefault="00CC00D4" w:rsidP="00CC00D4">
      <w:pPr>
        <w:jc w:val="center"/>
        <w:rPr>
          <w:rFonts w:eastAsia="Calibri" w:cs="Tahoma"/>
          <w:b/>
          <w:bCs/>
          <w:i/>
          <w:iCs/>
          <w:sz w:val="28"/>
          <w:szCs w:val="28"/>
        </w:rPr>
      </w:pPr>
      <w:r>
        <w:rPr>
          <w:rFonts w:eastAsia="Calibri" w:cs="Tahoma"/>
          <w:b/>
          <w:i/>
          <w:iCs/>
          <w:sz w:val="28"/>
          <w:szCs w:val="28"/>
        </w:rPr>
        <w:lastRenderedPageBreak/>
        <w:t>Paolo Ballanti</w:t>
      </w:r>
    </w:p>
    <w:p w14:paraId="41F790D5" w14:textId="77777777" w:rsidR="00CC00D4" w:rsidRPr="009B61B5" w:rsidRDefault="00CC00D4" w:rsidP="00CC00D4">
      <w:pPr>
        <w:rPr>
          <w:rFonts w:cs="Tahoma"/>
          <w:sz w:val="24"/>
          <w:szCs w:val="24"/>
        </w:rPr>
      </w:pPr>
      <w:r w:rsidRPr="009B61B5">
        <w:rPr>
          <w:rFonts w:cs="Tahoma"/>
          <w:sz w:val="24"/>
          <w:szCs w:val="24"/>
        </w:rPr>
        <w:t>Nato a Lugo (Ra) classe 1988, dopo la laurea in Consulente del Lavoro conseguita all’Università di Bologna nel 2012 ha frequentato tre master:</w:t>
      </w:r>
    </w:p>
    <w:p w14:paraId="517C1CEF" w14:textId="77777777" w:rsidR="00CC00D4" w:rsidRPr="009B61B5" w:rsidRDefault="00CC00D4">
      <w:pPr>
        <w:numPr>
          <w:ilvl w:val="0"/>
          <w:numId w:val="205"/>
        </w:numPr>
        <w:ind w:left="714" w:hanging="357"/>
        <w:contextualSpacing/>
        <w:rPr>
          <w:rFonts w:cs="Tahoma"/>
          <w:sz w:val="24"/>
          <w:szCs w:val="24"/>
        </w:rPr>
      </w:pPr>
      <w:r w:rsidRPr="009B61B5">
        <w:rPr>
          <w:rFonts w:cs="Tahoma"/>
          <w:sz w:val="24"/>
          <w:szCs w:val="24"/>
        </w:rPr>
        <w:t>Elaborazione buste paga (Ipsoa scuola di formazione –2014);</w:t>
      </w:r>
    </w:p>
    <w:p w14:paraId="216EE9B2" w14:textId="77777777" w:rsidR="00CC00D4" w:rsidRPr="009B61B5" w:rsidRDefault="00CC00D4">
      <w:pPr>
        <w:numPr>
          <w:ilvl w:val="0"/>
          <w:numId w:val="205"/>
        </w:numPr>
        <w:ind w:left="714" w:hanging="357"/>
        <w:contextualSpacing/>
        <w:rPr>
          <w:rFonts w:cs="Tahoma"/>
          <w:sz w:val="24"/>
          <w:szCs w:val="24"/>
        </w:rPr>
      </w:pPr>
      <w:r w:rsidRPr="009B61B5">
        <w:rPr>
          <w:rFonts w:cs="Tahoma"/>
          <w:sz w:val="24"/>
          <w:szCs w:val="24"/>
        </w:rPr>
        <w:t>Diritto del Lavoro (Business school Il Sole 24 Ore –2015);</w:t>
      </w:r>
    </w:p>
    <w:p w14:paraId="37082895" w14:textId="77777777" w:rsidR="00CC00D4" w:rsidRPr="009B61B5" w:rsidRDefault="00CC00D4">
      <w:pPr>
        <w:numPr>
          <w:ilvl w:val="0"/>
          <w:numId w:val="205"/>
        </w:numPr>
        <w:rPr>
          <w:rFonts w:cs="Tahoma"/>
          <w:sz w:val="24"/>
          <w:szCs w:val="24"/>
        </w:rPr>
      </w:pPr>
      <w:proofErr w:type="spellStart"/>
      <w:r w:rsidRPr="009B61B5">
        <w:rPr>
          <w:rFonts w:cs="Tahoma"/>
          <w:sz w:val="24"/>
          <w:szCs w:val="24"/>
        </w:rPr>
        <w:t>Hr</w:t>
      </w:r>
      <w:proofErr w:type="spellEnd"/>
      <w:r w:rsidRPr="009B61B5">
        <w:rPr>
          <w:rFonts w:cs="Tahoma"/>
          <w:sz w:val="24"/>
          <w:szCs w:val="24"/>
        </w:rPr>
        <w:t xml:space="preserve"> </w:t>
      </w:r>
      <w:proofErr w:type="spellStart"/>
      <w:r w:rsidRPr="009B61B5">
        <w:rPr>
          <w:rFonts w:cs="Tahoma"/>
          <w:sz w:val="24"/>
          <w:szCs w:val="24"/>
        </w:rPr>
        <w:t>specialist</w:t>
      </w:r>
      <w:proofErr w:type="spellEnd"/>
      <w:r w:rsidRPr="009B61B5">
        <w:rPr>
          <w:rFonts w:cs="Tahoma"/>
          <w:sz w:val="24"/>
          <w:szCs w:val="24"/>
        </w:rPr>
        <w:t xml:space="preserve"> (Business school Il Sole 24 Ore –2016).</w:t>
      </w:r>
    </w:p>
    <w:p w14:paraId="4F09AA94" w14:textId="77777777" w:rsidR="00CC00D4" w:rsidRPr="009B61B5" w:rsidRDefault="00CC00D4" w:rsidP="00CC00D4">
      <w:pPr>
        <w:rPr>
          <w:rFonts w:cs="Tahoma"/>
          <w:sz w:val="24"/>
          <w:szCs w:val="24"/>
        </w:rPr>
      </w:pPr>
      <w:r w:rsidRPr="009B61B5">
        <w:rPr>
          <w:rFonts w:cs="Tahoma"/>
          <w:sz w:val="24"/>
          <w:szCs w:val="24"/>
        </w:rPr>
        <w:t>Dal 2012 si occupa di consulenza giuslavoristica, elaborazione paghe e gestione risorse umane presso associazioni di categoria, studi professionali ed aziende di grandi dimensioni.</w:t>
      </w:r>
    </w:p>
    <w:p w14:paraId="40E1D06C" w14:textId="77777777" w:rsidR="00CC00D4" w:rsidRPr="009B61B5" w:rsidRDefault="00CC00D4" w:rsidP="00CC00D4">
      <w:pPr>
        <w:rPr>
          <w:rFonts w:cs="Tahoma"/>
          <w:sz w:val="24"/>
          <w:szCs w:val="24"/>
        </w:rPr>
      </w:pPr>
      <w:r w:rsidRPr="009B61B5">
        <w:rPr>
          <w:rFonts w:cs="Tahoma"/>
          <w:sz w:val="24"/>
          <w:szCs w:val="24"/>
        </w:rPr>
        <w:t>Ha collaborato e collabora attualmente con testate giornalistiche e blog su temi di Diritto del Lavoro.</w:t>
      </w:r>
    </w:p>
    <w:p w14:paraId="3205A537" w14:textId="77777777" w:rsidR="00CC00D4" w:rsidRPr="00862327" w:rsidRDefault="00CC00D4" w:rsidP="00CC00D4">
      <w:pPr>
        <w:rPr>
          <w:rFonts w:cs="Tahoma"/>
          <w:szCs w:val="20"/>
        </w:rPr>
      </w:pPr>
    </w:p>
    <w:p w14:paraId="1D9FEAA0" w14:textId="77777777" w:rsidR="00CC00D4" w:rsidRPr="00862327" w:rsidRDefault="00CC00D4" w:rsidP="00CC00D4">
      <w:pPr>
        <w:rPr>
          <w:rFonts w:cs="Tahoma"/>
          <w:szCs w:val="20"/>
        </w:rPr>
      </w:pPr>
    </w:p>
    <w:p w14:paraId="1AF8C615" w14:textId="77777777" w:rsidR="00CC00D4" w:rsidRPr="00862327" w:rsidRDefault="00CC00D4" w:rsidP="00CC00D4">
      <w:pPr>
        <w:rPr>
          <w:rFonts w:cs="Tahoma"/>
          <w:szCs w:val="20"/>
        </w:rPr>
      </w:pPr>
    </w:p>
    <w:p w14:paraId="54D3D1D2" w14:textId="77777777" w:rsidR="00CC00D4" w:rsidRDefault="00CC00D4" w:rsidP="00CC00D4">
      <w:pPr>
        <w:rPr>
          <w:rFonts w:cs="Tahoma"/>
        </w:rPr>
      </w:pPr>
    </w:p>
    <w:p w14:paraId="5D2535FC" w14:textId="77777777" w:rsidR="00CC00D4" w:rsidRDefault="00CC00D4" w:rsidP="00CC00D4">
      <w:pPr>
        <w:rPr>
          <w:rFonts w:cs="Tahoma"/>
        </w:rPr>
      </w:pPr>
    </w:p>
    <w:p w14:paraId="7794F66F" w14:textId="77777777" w:rsidR="00CC00D4" w:rsidRDefault="00CC00D4" w:rsidP="00CC00D4">
      <w:pPr>
        <w:rPr>
          <w:rFonts w:cs="Tahoma"/>
        </w:rPr>
      </w:pPr>
    </w:p>
    <w:p w14:paraId="28BF0420" w14:textId="77777777" w:rsidR="00CC00D4" w:rsidRPr="00862327" w:rsidRDefault="00CC00D4" w:rsidP="00CC00D4">
      <w:pPr>
        <w:rPr>
          <w:rFonts w:cs="Tahoma"/>
        </w:rPr>
      </w:pPr>
    </w:p>
    <w:p w14:paraId="430E0695" w14:textId="77777777" w:rsidR="00CC00D4" w:rsidRPr="00862327" w:rsidRDefault="00CC00D4" w:rsidP="00CC00D4">
      <w:pPr>
        <w:rPr>
          <w:rFonts w:cs="Tahoma"/>
        </w:rPr>
      </w:pPr>
    </w:p>
    <w:p w14:paraId="0C1F5C7F" w14:textId="01D28CBC" w:rsidR="00CC00D4" w:rsidRPr="00862327" w:rsidRDefault="00CC00D4" w:rsidP="00CC00D4">
      <w:pPr>
        <w:jc w:val="center"/>
        <w:rPr>
          <w:rFonts w:cs="Tahoma"/>
          <w:shd w:val="clear" w:color="auto" w:fill="FFFFFF"/>
          <w:lang w:val="en-US"/>
        </w:rPr>
      </w:pPr>
      <w:r w:rsidRPr="00E248EF">
        <w:rPr>
          <w:rFonts w:cs="Tahoma"/>
          <w:b/>
          <w:bCs/>
          <w:lang w:val="en-US"/>
        </w:rPr>
        <w:t>ISBN:</w:t>
      </w:r>
      <w:r w:rsidRPr="00862327">
        <w:rPr>
          <w:rFonts w:cs="Tahoma"/>
          <w:shd w:val="clear" w:color="auto" w:fill="FFFFFF"/>
          <w:lang w:val="en-US"/>
        </w:rPr>
        <w:t xml:space="preserve"> </w:t>
      </w:r>
      <w:r w:rsidR="00E248EF" w:rsidRPr="00E248EF">
        <w:rPr>
          <w:rFonts w:cs="Tahoma"/>
          <w:shd w:val="clear" w:color="auto" w:fill="FFFFFF"/>
          <w:lang w:val="en-US"/>
        </w:rPr>
        <w:t>9788891660923</w:t>
      </w:r>
    </w:p>
    <w:p w14:paraId="2A2C29DD" w14:textId="613CF45F" w:rsidR="00CC00D4" w:rsidRPr="00862327" w:rsidRDefault="00CC00D4" w:rsidP="00CC00D4">
      <w:pPr>
        <w:jc w:val="center"/>
        <w:rPr>
          <w:rFonts w:cs="Tahoma"/>
          <w:lang w:val="en-US"/>
        </w:rPr>
      </w:pPr>
      <w:r>
        <w:rPr>
          <w:rFonts w:cs="Tahoma"/>
          <w:lang w:val="en-US"/>
        </w:rPr>
        <w:t>Gennaio 2023</w:t>
      </w:r>
    </w:p>
    <w:p w14:paraId="7B4EBFD3" w14:textId="0F6DA7EA" w:rsidR="00CC00D4" w:rsidRPr="00862327" w:rsidRDefault="00CC00D4" w:rsidP="00CC00D4">
      <w:pPr>
        <w:jc w:val="center"/>
        <w:rPr>
          <w:rFonts w:cs="Tahoma"/>
          <w:lang w:val="en-US"/>
        </w:rPr>
      </w:pPr>
      <w:r w:rsidRPr="00862327">
        <w:rPr>
          <w:rFonts w:cs="Tahoma"/>
          <w:lang w:val="en-US"/>
        </w:rPr>
        <w:t>© Copyright 202</w:t>
      </w:r>
      <w:r>
        <w:rPr>
          <w:rFonts w:cs="Tahoma"/>
          <w:lang w:val="en-US"/>
        </w:rPr>
        <w:t>3</w:t>
      </w:r>
      <w:r w:rsidRPr="00862327">
        <w:rPr>
          <w:rFonts w:cs="Tahoma"/>
          <w:lang w:val="en-US"/>
        </w:rPr>
        <w:t xml:space="preserve"> by </w:t>
      </w:r>
      <w:proofErr w:type="spellStart"/>
      <w:r w:rsidRPr="00862327">
        <w:rPr>
          <w:rFonts w:cs="Tahoma"/>
          <w:lang w:val="en-US"/>
        </w:rPr>
        <w:t>Maggioli</w:t>
      </w:r>
      <w:proofErr w:type="spellEnd"/>
    </w:p>
    <w:p w14:paraId="1721F8DE" w14:textId="77777777" w:rsidR="00CC00D4" w:rsidRPr="00862327" w:rsidRDefault="00CC00D4" w:rsidP="00CC00D4">
      <w:pPr>
        <w:jc w:val="center"/>
        <w:rPr>
          <w:rFonts w:cs="Tahoma"/>
          <w:lang w:val="en-US"/>
        </w:rPr>
      </w:pPr>
      <w:hyperlink r:id="rId13" w:history="1">
        <w:r w:rsidRPr="00862327">
          <w:rPr>
            <w:rStyle w:val="Collegamentoipertestuale"/>
            <w:rFonts w:cs="Tahoma"/>
            <w:lang w:val="en-US"/>
          </w:rPr>
          <w:t>www.fiscoetasse.com</w:t>
        </w:r>
      </w:hyperlink>
    </w:p>
    <w:p w14:paraId="0D550FD4" w14:textId="77777777" w:rsidR="00CC00D4" w:rsidRPr="00C227D5" w:rsidRDefault="00CC00D4" w:rsidP="00CC00D4">
      <w:pPr>
        <w:jc w:val="center"/>
        <w:rPr>
          <w:rFonts w:cs="Tahoma"/>
          <w:lang w:val="en-US"/>
        </w:rPr>
        <w:sectPr w:rsidR="00CC00D4" w:rsidRPr="00C227D5" w:rsidSect="00767B83">
          <w:pgSz w:w="11906" w:h="16838" w:code="9"/>
          <w:pgMar w:top="1418" w:right="1418" w:bottom="510" w:left="1276" w:header="709" w:footer="1191" w:gutter="0"/>
          <w:pgNumType w:chapStyle="1"/>
          <w:cols w:space="708"/>
          <w:titlePg/>
          <w:docGrid w:linePitch="360"/>
        </w:sectPr>
      </w:pPr>
      <w:r w:rsidRPr="00C227D5">
        <w:rPr>
          <w:rFonts w:cs="Tahoma"/>
          <w:noProof/>
          <w:lang w:val="en-US"/>
        </w:rPr>
        <w:drawing>
          <wp:inline distT="0" distB="0" distL="0" distR="0" wp14:anchorId="67D6B98A" wp14:editId="3398C285">
            <wp:extent cx="2477336" cy="679269"/>
            <wp:effectExtent l="0" t="0" r="0" b="698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1">
                      <a:extLst>
                        <a:ext uri="{28A0092B-C50C-407E-A947-70E740481C1C}">
                          <a14:useLocalDpi xmlns:a14="http://schemas.microsoft.com/office/drawing/2010/main" val="0"/>
                        </a:ext>
                      </a:extLst>
                    </a:blip>
                    <a:stretch>
                      <a:fillRect/>
                    </a:stretch>
                  </pic:blipFill>
                  <pic:spPr>
                    <a:xfrm>
                      <a:off x="0" y="0"/>
                      <a:ext cx="2520491" cy="691102"/>
                    </a:xfrm>
                    <a:prstGeom prst="rect">
                      <a:avLst/>
                    </a:prstGeom>
                  </pic:spPr>
                </pic:pic>
              </a:graphicData>
            </a:graphic>
          </wp:inline>
        </w:drawing>
      </w:r>
    </w:p>
    <w:p w14:paraId="679125B3" w14:textId="14A119C8" w:rsidR="00A70307" w:rsidRDefault="00A70307">
      <w:pPr>
        <w:rPr>
          <w:b/>
          <w:bCs/>
          <w:sz w:val="40"/>
          <w:szCs w:val="40"/>
          <w:lang w:val="en-GB"/>
        </w:rPr>
      </w:pPr>
      <w:proofErr w:type="spellStart"/>
      <w:r w:rsidRPr="00CC00D4">
        <w:rPr>
          <w:b/>
          <w:bCs/>
          <w:sz w:val="40"/>
          <w:szCs w:val="40"/>
          <w:lang w:val="en-GB"/>
        </w:rPr>
        <w:lastRenderedPageBreak/>
        <w:t>Indice</w:t>
      </w:r>
      <w:proofErr w:type="spellEnd"/>
    </w:p>
    <w:p w14:paraId="0366BE24" w14:textId="77777777" w:rsidR="00E248EF" w:rsidRPr="00CC00D4" w:rsidRDefault="00E248EF">
      <w:pPr>
        <w:rPr>
          <w:lang w:val="en-GB"/>
        </w:rPr>
      </w:pPr>
    </w:p>
    <w:bookmarkStart w:id="0" w:name="_Toc124144103" w:displacedByCustomXml="next"/>
    <w:sdt>
      <w:sdtPr>
        <w:rPr>
          <w:rFonts w:cs="Calibri"/>
          <w:b/>
          <w:szCs w:val="22"/>
        </w:rPr>
        <w:id w:val="490682286"/>
        <w:docPartObj>
          <w:docPartGallery w:val="Table of Contents"/>
          <w:docPartUnique/>
        </w:docPartObj>
      </w:sdtPr>
      <w:sdtEndPr>
        <w:rPr>
          <w:b w:val="0"/>
          <w:bCs/>
          <w:i w:val="0"/>
          <w:noProof/>
        </w:rPr>
      </w:sdtEndPr>
      <w:sdtContent>
        <w:bookmarkEnd w:id="0" w:displacedByCustomXml="prev"/>
        <w:p w14:paraId="5AD76761" w14:textId="59980BD3" w:rsidR="00E248EF" w:rsidRDefault="00917C57">
          <w:pPr>
            <w:pStyle w:val="Sommario3"/>
            <w:tabs>
              <w:tab w:val="right" w:leader="dot" w:pos="9628"/>
            </w:tabs>
            <w:rPr>
              <w:rFonts w:asciiTheme="minorHAnsi" w:eastAsiaTheme="minorEastAsia" w:hAnsiTheme="minorHAnsi" w:cstheme="minorBidi"/>
              <w:i w:val="0"/>
              <w:noProof/>
              <w:sz w:val="22"/>
              <w:szCs w:val="22"/>
              <w:lang w:eastAsia="it-IT"/>
            </w:rPr>
          </w:pPr>
          <w:r w:rsidRPr="00CC00D4">
            <w:fldChar w:fldCharType="begin"/>
          </w:r>
          <w:r w:rsidRPr="00CC00D4">
            <w:instrText xml:space="preserve"> TOC \o "1-3" \h \z \u </w:instrText>
          </w:r>
          <w:r w:rsidRPr="00CC00D4">
            <w:fldChar w:fldCharType="separate"/>
          </w:r>
        </w:p>
        <w:p w14:paraId="14A5E9F4" w14:textId="5608BF3A"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199" w:history="1">
            <w:r w:rsidRPr="00E248EF">
              <w:rPr>
                <w:rStyle w:val="Collegamentoipertestuale"/>
                <w:rFonts w:cs="Tahoma"/>
                <w:noProof/>
              </w:rPr>
              <w:t>Premessa</w:t>
            </w:r>
            <w:r w:rsidRPr="00E248EF">
              <w:rPr>
                <w:noProof/>
                <w:webHidden/>
              </w:rPr>
              <w:tab/>
            </w:r>
            <w:r w:rsidRPr="00E248EF">
              <w:rPr>
                <w:noProof/>
                <w:webHidden/>
              </w:rPr>
              <w:fldChar w:fldCharType="begin"/>
            </w:r>
            <w:r w:rsidRPr="00E248EF">
              <w:rPr>
                <w:noProof/>
                <w:webHidden/>
              </w:rPr>
              <w:instrText xml:space="preserve"> PAGEREF _Toc124266199 \h </w:instrText>
            </w:r>
            <w:r w:rsidRPr="00E248EF">
              <w:rPr>
                <w:noProof/>
                <w:webHidden/>
              </w:rPr>
            </w:r>
            <w:r w:rsidRPr="00E248EF">
              <w:rPr>
                <w:noProof/>
                <w:webHidden/>
              </w:rPr>
              <w:fldChar w:fldCharType="separate"/>
            </w:r>
            <w:r w:rsidR="00C13356">
              <w:rPr>
                <w:noProof/>
                <w:webHidden/>
              </w:rPr>
              <w:t>10</w:t>
            </w:r>
            <w:r w:rsidRPr="00E248EF">
              <w:rPr>
                <w:noProof/>
                <w:webHidden/>
              </w:rPr>
              <w:fldChar w:fldCharType="end"/>
            </w:r>
          </w:hyperlink>
        </w:p>
        <w:p w14:paraId="5865FDE7" w14:textId="67E7F19F"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200" w:history="1">
            <w:r w:rsidRPr="00E248EF">
              <w:rPr>
                <w:rStyle w:val="Collegamentoipertestuale"/>
                <w:rFonts w:cs="Tahoma"/>
                <w:noProof/>
              </w:rPr>
              <w:t>1.</w:t>
            </w:r>
          </w:hyperlink>
          <w:r w:rsidRPr="00E248EF">
            <w:rPr>
              <w:rFonts w:eastAsiaTheme="minorEastAsia"/>
              <w:b w:val="0"/>
              <w:noProof/>
              <w:lang w:eastAsia="it-IT"/>
            </w:rPr>
            <w:t xml:space="preserve"> </w:t>
          </w:r>
          <w:hyperlink w:anchor="_Toc124266201" w:history="1">
            <w:r w:rsidRPr="00E248EF">
              <w:rPr>
                <w:rStyle w:val="Collegamentoipertestuale"/>
                <w:rFonts w:cs="Tahoma"/>
                <w:noProof/>
              </w:rPr>
              <w:t>Il lavoro autonomo occasionale</w:t>
            </w:r>
            <w:r w:rsidRPr="00E248EF">
              <w:rPr>
                <w:noProof/>
                <w:webHidden/>
              </w:rPr>
              <w:tab/>
            </w:r>
            <w:r w:rsidRPr="00E248EF">
              <w:rPr>
                <w:noProof/>
                <w:webHidden/>
              </w:rPr>
              <w:fldChar w:fldCharType="begin"/>
            </w:r>
            <w:r w:rsidRPr="00E248EF">
              <w:rPr>
                <w:noProof/>
                <w:webHidden/>
              </w:rPr>
              <w:instrText xml:space="preserve"> PAGEREF _Toc124266201 \h </w:instrText>
            </w:r>
            <w:r w:rsidRPr="00E248EF">
              <w:rPr>
                <w:noProof/>
                <w:webHidden/>
              </w:rPr>
            </w:r>
            <w:r w:rsidRPr="00E248EF">
              <w:rPr>
                <w:noProof/>
                <w:webHidden/>
              </w:rPr>
              <w:fldChar w:fldCharType="separate"/>
            </w:r>
            <w:r w:rsidR="00C13356">
              <w:rPr>
                <w:noProof/>
                <w:webHidden/>
              </w:rPr>
              <w:t>12</w:t>
            </w:r>
            <w:r w:rsidRPr="00E248EF">
              <w:rPr>
                <w:noProof/>
                <w:webHidden/>
              </w:rPr>
              <w:fldChar w:fldCharType="end"/>
            </w:r>
          </w:hyperlink>
        </w:p>
        <w:p w14:paraId="5BCA6D6B" w14:textId="0EBFE2F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02" w:history="1">
            <w:r w:rsidRPr="00E248EF">
              <w:rPr>
                <w:rStyle w:val="Collegamentoipertestuale"/>
                <w:rFonts w:cs="Tahoma"/>
                <w:noProof/>
                <w:szCs w:val="20"/>
              </w:rPr>
              <w:t>1.1 Distinzione rispetto al lavoro subordinato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_Toc124266202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13</w:t>
            </w:r>
            <w:r w:rsidRPr="00E248EF">
              <w:rPr>
                <w:rFonts w:cs="Tahoma"/>
                <w:noProof/>
                <w:webHidden/>
                <w:szCs w:val="20"/>
              </w:rPr>
              <w:fldChar w:fldCharType="end"/>
            </w:r>
          </w:hyperlink>
        </w:p>
        <w:p w14:paraId="7FD48E4A" w14:textId="58193322"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03" w:history="1">
            <w:r w:rsidRPr="00E248EF">
              <w:rPr>
                <w:rStyle w:val="Collegamentoipertestuale"/>
                <w:rFonts w:cs="Tahoma"/>
                <w:noProof/>
                <w:szCs w:val="20"/>
              </w:rPr>
              <w:t>1.2 Distinzione rispetto al lavoro autonomo abituale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_Toc124266203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15</w:t>
            </w:r>
            <w:r w:rsidRPr="00E248EF">
              <w:rPr>
                <w:rFonts w:cs="Tahoma"/>
                <w:noProof/>
                <w:webHidden/>
                <w:szCs w:val="20"/>
              </w:rPr>
              <w:fldChar w:fldCharType="end"/>
            </w:r>
          </w:hyperlink>
        </w:p>
        <w:p w14:paraId="1863A6B8" w14:textId="6F878C5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04" w:history="1">
            <w:r w:rsidRPr="00E248EF">
              <w:rPr>
                <w:rStyle w:val="Collegamentoipertestuale"/>
                <w:rFonts w:cs="Tahoma"/>
                <w:noProof/>
              </w:rPr>
              <w:t>1.2.1 IVA</w:t>
            </w:r>
            <w:r w:rsidRPr="00E248EF">
              <w:rPr>
                <w:noProof/>
                <w:webHidden/>
              </w:rPr>
              <w:tab/>
            </w:r>
            <w:r w:rsidRPr="00E248EF">
              <w:rPr>
                <w:noProof/>
                <w:webHidden/>
              </w:rPr>
              <w:fldChar w:fldCharType="begin"/>
            </w:r>
            <w:r w:rsidRPr="00E248EF">
              <w:rPr>
                <w:noProof/>
                <w:webHidden/>
              </w:rPr>
              <w:instrText xml:space="preserve"> PAGEREF _Toc124266204 \h </w:instrText>
            </w:r>
            <w:r w:rsidRPr="00E248EF">
              <w:rPr>
                <w:noProof/>
                <w:webHidden/>
              </w:rPr>
            </w:r>
            <w:r w:rsidRPr="00E248EF">
              <w:rPr>
                <w:noProof/>
                <w:webHidden/>
              </w:rPr>
              <w:fldChar w:fldCharType="separate"/>
            </w:r>
            <w:r w:rsidR="00C13356">
              <w:rPr>
                <w:noProof/>
                <w:webHidden/>
              </w:rPr>
              <w:t>15</w:t>
            </w:r>
            <w:r w:rsidRPr="00E248EF">
              <w:rPr>
                <w:noProof/>
                <w:webHidden/>
              </w:rPr>
              <w:fldChar w:fldCharType="end"/>
            </w:r>
          </w:hyperlink>
        </w:p>
        <w:p w14:paraId="41FFA1CF" w14:textId="0AF3BE0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05" w:history="1">
            <w:r w:rsidRPr="00E248EF">
              <w:rPr>
                <w:rStyle w:val="Collegamentoipertestuale"/>
                <w:rFonts w:cs="Tahoma"/>
                <w:noProof/>
              </w:rPr>
              <w:t>1.2.2 IRPEF</w:t>
            </w:r>
            <w:r w:rsidRPr="00E248EF">
              <w:rPr>
                <w:noProof/>
                <w:webHidden/>
              </w:rPr>
              <w:tab/>
            </w:r>
            <w:r w:rsidRPr="00E248EF">
              <w:rPr>
                <w:noProof/>
                <w:webHidden/>
              </w:rPr>
              <w:fldChar w:fldCharType="begin"/>
            </w:r>
            <w:r w:rsidRPr="00E248EF">
              <w:rPr>
                <w:noProof/>
                <w:webHidden/>
              </w:rPr>
              <w:instrText xml:space="preserve"> PAGEREF _Toc124266205 \h </w:instrText>
            </w:r>
            <w:r w:rsidRPr="00E248EF">
              <w:rPr>
                <w:noProof/>
                <w:webHidden/>
              </w:rPr>
            </w:r>
            <w:r w:rsidRPr="00E248EF">
              <w:rPr>
                <w:noProof/>
                <w:webHidden/>
              </w:rPr>
              <w:fldChar w:fldCharType="separate"/>
            </w:r>
            <w:r w:rsidR="00C13356">
              <w:rPr>
                <w:noProof/>
                <w:webHidden/>
              </w:rPr>
              <w:t>16</w:t>
            </w:r>
            <w:r w:rsidRPr="00E248EF">
              <w:rPr>
                <w:noProof/>
                <w:webHidden/>
              </w:rPr>
              <w:fldChar w:fldCharType="end"/>
            </w:r>
          </w:hyperlink>
        </w:p>
        <w:p w14:paraId="06EF4830" w14:textId="423C242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06" w:history="1">
            <w:r w:rsidRPr="00E248EF">
              <w:rPr>
                <w:rStyle w:val="Collegamentoipertestuale"/>
                <w:rFonts w:cs="Tahoma"/>
                <w:noProof/>
              </w:rPr>
              <w:t>1.2.3 Gestione Separata</w:t>
            </w:r>
            <w:r w:rsidRPr="00E248EF">
              <w:rPr>
                <w:noProof/>
                <w:webHidden/>
              </w:rPr>
              <w:tab/>
            </w:r>
            <w:r w:rsidRPr="00E248EF">
              <w:rPr>
                <w:noProof/>
                <w:webHidden/>
              </w:rPr>
              <w:fldChar w:fldCharType="begin"/>
            </w:r>
            <w:r w:rsidRPr="00E248EF">
              <w:rPr>
                <w:noProof/>
                <w:webHidden/>
              </w:rPr>
              <w:instrText xml:space="preserve"> PAGEREF _Toc124266206 \h </w:instrText>
            </w:r>
            <w:r w:rsidRPr="00E248EF">
              <w:rPr>
                <w:noProof/>
                <w:webHidden/>
              </w:rPr>
            </w:r>
            <w:r w:rsidRPr="00E248EF">
              <w:rPr>
                <w:noProof/>
                <w:webHidden/>
              </w:rPr>
              <w:fldChar w:fldCharType="separate"/>
            </w:r>
            <w:r w:rsidR="00C13356">
              <w:rPr>
                <w:noProof/>
                <w:webHidden/>
              </w:rPr>
              <w:t>17</w:t>
            </w:r>
            <w:r w:rsidRPr="00E248EF">
              <w:rPr>
                <w:noProof/>
                <w:webHidden/>
              </w:rPr>
              <w:fldChar w:fldCharType="end"/>
            </w:r>
          </w:hyperlink>
        </w:p>
        <w:p w14:paraId="24B0FF94" w14:textId="06BAA608"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07" w:history="1">
            <w:r w:rsidRPr="00E248EF">
              <w:rPr>
                <w:rStyle w:val="Collegamentoipertestuale"/>
                <w:rFonts w:cs="Tahoma"/>
                <w:noProof/>
                <w:szCs w:val="20"/>
              </w:rPr>
              <w:t>1.3 Distinzione con la collaborazione coordinata e continuativa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_Toc124266207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17</w:t>
            </w:r>
            <w:r w:rsidRPr="00E248EF">
              <w:rPr>
                <w:rFonts w:cs="Tahoma"/>
                <w:noProof/>
                <w:webHidden/>
                <w:szCs w:val="20"/>
              </w:rPr>
              <w:fldChar w:fldCharType="end"/>
            </w:r>
          </w:hyperlink>
        </w:p>
        <w:p w14:paraId="354995B3" w14:textId="70912C5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08" w:history="1">
            <w:r w:rsidRPr="00E248EF">
              <w:rPr>
                <w:rStyle w:val="Collegamentoipertestuale"/>
                <w:rFonts w:cs="Tahoma"/>
                <w:noProof/>
                <w:szCs w:val="20"/>
              </w:rPr>
              <w:t>1.4 Distinzione rispetto alle prestazioni di lavoro occasionali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_Toc124266208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18</w:t>
            </w:r>
            <w:r w:rsidRPr="00E248EF">
              <w:rPr>
                <w:rFonts w:cs="Tahoma"/>
                <w:noProof/>
                <w:webHidden/>
                <w:szCs w:val="20"/>
              </w:rPr>
              <w:fldChar w:fldCharType="end"/>
            </w:r>
          </w:hyperlink>
        </w:p>
        <w:p w14:paraId="6300D20F" w14:textId="07E948C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09" w:history="1">
            <w:r w:rsidRPr="00E248EF">
              <w:rPr>
                <w:rStyle w:val="Collegamentoipertestuale"/>
                <w:rFonts w:cs="Tahoma"/>
                <w:noProof/>
              </w:rPr>
              <w:t>1.4.1 Imprese e professionisti</w:t>
            </w:r>
            <w:r w:rsidRPr="00E248EF">
              <w:rPr>
                <w:noProof/>
                <w:webHidden/>
              </w:rPr>
              <w:tab/>
            </w:r>
            <w:r w:rsidRPr="00E248EF">
              <w:rPr>
                <w:noProof/>
                <w:webHidden/>
              </w:rPr>
              <w:fldChar w:fldCharType="begin"/>
            </w:r>
            <w:r w:rsidRPr="00E248EF">
              <w:rPr>
                <w:noProof/>
                <w:webHidden/>
              </w:rPr>
              <w:instrText xml:space="preserve"> PAGEREF _Toc124266209 \h </w:instrText>
            </w:r>
            <w:r w:rsidRPr="00E248EF">
              <w:rPr>
                <w:noProof/>
                <w:webHidden/>
              </w:rPr>
            </w:r>
            <w:r w:rsidRPr="00E248EF">
              <w:rPr>
                <w:noProof/>
                <w:webHidden/>
              </w:rPr>
              <w:fldChar w:fldCharType="separate"/>
            </w:r>
            <w:r w:rsidR="00C13356">
              <w:rPr>
                <w:noProof/>
                <w:webHidden/>
              </w:rPr>
              <w:t>19</w:t>
            </w:r>
            <w:r w:rsidRPr="00E248EF">
              <w:rPr>
                <w:noProof/>
                <w:webHidden/>
              </w:rPr>
              <w:fldChar w:fldCharType="end"/>
            </w:r>
          </w:hyperlink>
        </w:p>
        <w:p w14:paraId="31878814" w14:textId="15C5B07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10" w:history="1">
            <w:r w:rsidRPr="00E248EF">
              <w:rPr>
                <w:rStyle w:val="Collegamentoipertestuale"/>
                <w:rFonts w:cs="Tahoma"/>
                <w:noProof/>
              </w:rPr>
              <w:t>1.4.2 Settore agricolo</w:t>
            </w:r>
            <w:r w:rsidRPr="00E248EF">
              <w:rPr>
                <w:noProof/>
                <w:webHidden/>
              </w:rPr>
              <w:tab/>
            </w:r>
            <w:r w:rsidRPr="00E248EF">
              <w:rPr>
                <w:noProof/>
                <w:webHidden/>
              </w:rPr>
              <w:fldChar w:fldCharType="begin"/>
            </w:r>
            <w:r w:rsidRPr="00E248EF">
              <w:rPr>
                <w:noProof/>
                <w:webHidden/>
              </w:rPr>
              <w:instrText xml:space="preserve"> PAGEREF _Toc124266210 \h </w:instrText>
            </w:r>
            <w:r w:rsidRPr="00E248EF">
              <w:rPr>
                <w:noProof/>
                <w:webHidden/>
              </w:rPr>
            </w:r>
            <w:r w:rsidRPr="00E248EF">
              <w:rPr>
                <w:noProof/>
                <w:webHidden/>
              </w:rPr>
              <w:fldChar w:fldCharType="separate"/>
            </w:r>
            <w:r w:rsidR="00C13356">
              <w:rPr>
                <w:noProof/>
                <w:webHidden/>
              </w:rPr>
              <w:t>21</w:t>
            </w:r>
            <w:r w:rsidRPr="00E248EF">
              <w:rPr>
                <w:noProof/>
                <w:webHidden/>
              </w:rPr>
              <w:fldChar w:fldCharType="end"/>
            </w:r>
          </w:hyperlink>
        </w:p>
        <w:p w14:paraId="377C400E" w14:textId="50B1C45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11" w:history="1">
            <w:r w:rsidRPr="00E248EF">
              <w:rPr>
                <w:rStyle w:val="Collegamentoipertestuale"/>
                <w:rFonts w:cs="Tahoma"/>
                <w:noProof/>
              </w:rPr>
              <w:t>1.4.3 Privati</w:t>
            </w:r>
            <w:r w:rsidRPr="00E248EF">
              <w:rPr>
                <w:noProof/>
                <w:webHidden/>
              </w:rPr>
              <w:tab/>
            </w:r>
            <w:r w:rsidRPr="00E248EF">
              <w:rPr>
                <w:noProof/>
                <w:webHidden/>
              </w:rPr>
              <w:fldChar w:fldCharType="begin"/>
            </w:r>
            <w:r w:rsidRPr="00E248EF">
              <w:rPr>
                <w:noProof/>
                <w:webHidden/>
              </w:rPr>
              <w:instrText xml:space="preserve"> PAGEREF _Toc124266211 \h </w:instrText>
            </w:r>
            <w:r w:rsidRPr="00E248EF">
              <w:rPr>
                <w:noProof/>
                <w:webHidden/>
              </w:rPr>
            </w:r>
            <w:r w:rsidRPr="00E248EF">
              <w:rPr>
                <w:noProof/>
                <w:webHidden/>
              </w:rPr>
              <w:fldChar w:fldCharType="separate"/>
            </w:r>
            <w:r w:rsidR="00C13356">
              <w:rPr>
                <w:noProof/>
                <w:webHidden/>
              </w:rPr>
              <w:t>21</w:t>
            </w:r>
            <w:r w:rsidRPr="00E248EF">
              <w:rPr>
                <w:noProof/>
                <w:webHidden/>
              </w:rPr>
              <w:fldChar w:fldCharType="end"/>
            </w:r>
          </w:hyperlink>
        </w:p>
        <w:p w14:paraId="34B23C4B" w14:textId="2366C098"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12" w:history="1">
            <w:r w:rsidRPr="00E248EF">
              <w:rPr>
                <w:rStyle w:val="Collegamentoipertestuale"/>
                <w:rFonts w:cs="Tahoma"/>
                <w:noProof/>
                <w:szCs w:val="20"/>
              </w:rPr>
              <w:t>1.5 Le novità della Legge di bilancio 2023</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_Toc124266212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22</w:t>
            </w:r>
            <w:r w:rsidRPr="00E248EF">
              <w:rPr>
                <w:rFonts w:cs="Tahoma"/>
                <w:noProof/>
                <w:webHidden/>
                <w:szCs w:val="20"/>
              </w:rPr>
              <w:fldChar w:fldCharType="end"/>
            </w:r>
          </w:hyperlink>
        </w:p>
        <w:p w14:paraId="34BFCF9B" w14:textId="2387E558"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13" w:history="1">
            <w:r w:rsidRPr="00E248EF">
              <w:rPr>
                <w:rStyle w:val="Collegamentoipertestuale"/>
                <w:rFonts w:cs="Tahoma"/>
                <w:noProof/>
              </w:rPr>
              <w:t>1.5.1 Cambia il tetto ai compensi per singolo utilizzatore</w:t>
            </w:r>
            <w:r w:rsidRPr="00E248EF">
              <w:rPr>
                <w:noProof/>
                <w:webHidden/>
              </w:rPr>
              <w:tab/>
            </w:r>
            <w:r w:rsidRPr="00E248EF">
              <w:rPr>
                <w:noProof/>
                <w:webHidden/>
              </w:rPr>
              <w:fldChar w:fldCharType="begin"/>
            </w:r>
            <w:r w:rsidRPr="00E248EF">
              <w:rPr>
                <w:noProof/>
                <w:webHidden/>
              </w:rPr>
              <w:instrText xml:space="preserve"> PAGEREF _Toc124266213 \h </w:instrText>
            </w:r>
            <w:r w:rsidRPr="00E248EF">
              <w:rPr>
                <w:noProof/>
                <w:webHidden/>
              </w:rPr>
            </w:r>
            <w:r w:rsidRPr="00E248EF">
              <w:rPr>
                <w:noProof/>
                <w:webHidden/>
              </w:rPr>
              <w:fldChar w:fldCharType="separate"/>
            </w:r>
            <w:r w:rsidR="00C13356">
              <w:rPr>
                <w:noProof/>
                <w:webHidden/>
              </w:rPr>
              <w:t>22</w:t>
            </w:r>
            <w:r w:rsidRPr="00E248EF">
              <w:rPr>
                <w:noProof/>
                <w:webHidden/>
              </w:rPr>
              <w:fldChar w:fldCharType="end"/>
            </w:r>
          </w:hyperlink>
        </w:p>
        <w:p w14:paraId="3D8C364A" w14:textId="64E9124F"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14" w:history="1">
            <w:r w:rsidRPr="00E248EF">
              <w:rPr>
                <w:rStyle w:val="Collegamentoipertestuale"/>
                <w:rFonts w:cs="Tahoma"/>
                <w:noProof/>
              </w:rPr>
              <w:t>1.5.2 Cambia il limite dimensionale per imprese e professionisti</w:t>
            </w:r>
            <w:r w:rsidRPr="00E248EF">
              <w:rPr>
                <w:noProof/>
                <w:webHidden/>
              </w:rPr>
              <w:tab/>
            </w:r>
            <w:r w:rsidRPr="00E248EF">
              <w:rPr>
                <w:noProof/>
                <w:webHidden/>
              </w:rPr>
              <w:fldChar w:fldCharType="begin"/>
            </w:r>
            <w:r w:rsidRPr="00E248EF">
              <w:rPr>
                <w:noProof/>
                <w:webHidden/>
              </w:rPr>
              <w:instrText xml:space="preserve"> PAGEREF _Toc124266214 \h </w:instrText>
            </w:r>
            <w:r w:rsidRPr="00E248EF">
              <w:rPr>
                <w:noProof/>
                <w:webHidden/>
              </w:rPr>
            </w:r>
            <w:r w:rsidRPr="00E248EF">
              <w:rPr>
                <w:noProof/>
                <w:webHidden/>
              </w:rPr>
              <w:fldChar w:fldCharType="separate"/>
            </w:r>
            <w:r w:rsidR="00C13356">
              <w:rPr>
                <w:noProof/>
                <w:webHidden/>
              </w:rPr>
              <w:t>23</w:t>
            </w:r>
            <w:r w:rsidRPr="00E248EF">
              <w:rPr>
                <w:noProof/>
                <w:webHidden/>
              </w:rPr>
              <w:fldChar w:fldCharType="end"/>
            </w:r>
          </w:hyperlink>
        </w:p>
        <w:p w14:paraId="470B8B93" w14:textId="5D483AD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15" w:history="1">
            <w:r w:rsidRPr="00E248EF">
              <w:rPr>
                <w:rStyle w:val="Collegamentoipertestuale"/>
                <w:rFonts w:cs="Tahoma"/>
                <w:noProof/>
              </w:rPr>
              <w:t>1.5.3 Le novità per il settore agricolo</w:t>
            </w:r>
            <w:r w:rsidRPr="00E248EF">
              <w:rPr>
                <w:noProof/>
                <w:webHidden/>
              </w:rPr>
              <w:tab/>
            </w:r>
            <w:r w:rsidRPr="00E248EF">
              <w:rPr>
                <w:noProof/>
                <w:webHidden/>
              </w:rPr>
              <w:fldChar w:fldCharType="begin"/>
            </w:r>
            <w:r w:rsidRPr="00E248EF">
              <w:rPr>
                <w:noProof/>
                <w:webHidden/>
              </w:rPr>
              <w:instrText xml:space="preserve"> PAGEREF _Toc124266215 \h </w:instrText>
            </w:r>
            <w:r w:rsidRPr="00E248EF">
              <w:rPr>
                <w:noProof/>
                <w:webHidden/>
              </w:rPr>
            </w:r>
            <w:r w:rsidRPr="00E248EF">
              <w:rPr>
                <w:noProof/>
                <w:webHidden/>
              </w:rPr>
              <w:fldChar w:fldCharType="separate"/>
            </w:r>
            <w:r w:rsidR="00C13356">
              <w:rPr>
                <w:noProof/>
                <w:webHidden/>
              </w:rPr>
              <w:t>23</w:t>
            </w:r>
            <w:r w:rsidRPr="00E248EF">
              <w:rPr>
                <w:noProof/>
                <w:webHidden/>
              </w:rPr>
              <w:fldChar w:fldCharType="end"/>
            </w:r>
          </w:hyperlink>
        </w:p>
        <w:p w14:paraId="20F66650" w14:textId="0389567A"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16" w:history="1">
            <w:r w:rsidRPr="00E248EF">
              <w:rPr>
                <w:rStyle w:val="Collegamentoipertestuale"/>
                <w:rFonts w:cs="Tahoma"/>
                <w:noProof/>
                <w:szCs w:val="20"/>
              </w:rPr>
              <w:t>1.6 Lettera di incarico per lavoro autonomo occasionale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_Toc124266216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27</w:t>
            </w:r>
            <w:r w:rsidRPr="00E248EF">
              <w:rPr>
                <w:rFonts w:cs="Tahoma"/>
                <w:noProof/>
                <w:webHidden/>
                <w:szCs w:val="20"/>
              </w:rPr>
              <w:fldChar w:fldCharType="end"/>
            </w:r>
          </w:hyperlink>
        </w:p>
        <w:p w14:paraId="27BFD1B9" w14:textId="61D091FF"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17" w:history="1">
            <w:r w:rsidRPr="00E248EF">
              <w:rPr>
                <w:rStyle w:val="Collegamentoipertestuale"/>
                <w:rFonts w:cs="Tahoma"/>
                <w:noProof/>
                <w:szCs w:val="20"/>
              </w:rPr>
              <w:t>1.7 Modalità di pagamento dei compensi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_Toc124266217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29</w:t>
            </w:r>
            <w:r w:rsidRPr="00E248EF">
              <w:rPr>
                <w:rFonts w:cs="Tahoma"/>
                <w:noProof/>
                <w:webHidden/>
                <w:szCs w:val="20"/>
              </w:rPr>
              <w:fldChar w:fldCharType="end"/>
            </w:r>
          </w:hyperlink>
        </w:p>
        <w:p w14:paraId="04DD64B3" w14:textId="0D3BA50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18" w:history="1">
            <w:r w:rsidRPr="00E248EF">
              <w:rPr>
                <w:rStyle w:val="Collegamentoipertestuale"/>
                <w:rFonts w:cs="Tahoma"/>
                <w:noProof/>
                <w:szCs w:val="20"/>
              </w:rPr>
              <w:t>1.8 Nota di pagamento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_Toc124266218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30</w:t>
            </w:r>
            <w:r w:rsidRPr="00E248EF">
              <w:rPr>
                <w:rFonts w:cs="Tahoma"/>
                <w:noProof/>
                <w:webHidden/>
                <w:szCs w:val="20"/>
              </w:rPr>
              <w:fldChar w:fldCharType="end"/>
            </w:r>
          </w:hyperlink>
        </w:p>
        <w:p w14:paraId="3C6CED3C" w14:textId="2101501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19" w:history="1">
            <w:r w:rsidRPr="00E248EF">
              <w:rPr>
                <w:rStyle w:val="Collegamentoipertestuale"/>
                <w:rFonts w:cs="Tahoma"/>
                <w:noProof/>
                <w:szCs w:val="20"/>
              </w:rPr>
              <w:t>1.9 Le tutele del “Jobs Act lavoratori autonomi”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_Toc124266219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32</w:t>
            </w:r>
            <w:r w:rsidRPr="00E248EF">
              <w:rPr>
                <w:rFonts w:cs="Tahoma"/>
                <w:noProof/>
                <w:webHidden/>
                <w:szCs w:val="20"/>
              </w:rPr>
              <w:fldChar w:fldCharType="end"/>
            </w:r>
          </w:hyperlink>
        </w:p>
        <w:p w14:paraId="39D5F834" w14:textId="082D2724"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20" w:history="1">
            <w:r w:rsidRPr="00E248EF">
              <w:rPr>
                <w:rStyle w:val="Collegamentoipertestuale"/>
                <w:rFonts w:cs="Tahoma"/>
                <w:noProof/>
              </w:rPr>
              <w:t>1.9.1 Contratto</w:t>
            </w:r>
            <w:r w:rsidRPr="00E248EF">
              <w:rPr>
                <w:noProof/>
                <w:webHidden/>
              </w:rPr>
              <w:tab/>
            </w:r>
            <w:r w:rsidRPr="00E248EF">
              <w:rPr>
                <w:noProof/>
                <w:webHidden/>
              </w:rPr>
              <w:fldChar w:fldCharType="begin"/>
            </w:r>
            <w:r w:rsidRPr="00E248EF">
              <w:rPr>
                <w:noProof/>
                <w:webHidden/>
              </w:rPr>
              <w:instrText xml:space="preserve"> PAGEREF _Toc124266220 \h </w:instrText>
            </w:r>
            <w:r w:rsidRPr="00E248EF">
              <w:rPr>
                <w:noProof/>
                <w:webHidden/>
              </w:rPr>
            </w:r>
            <w:r w:rsidRPr="00E248EF">
              <w:rPr>
                <w:noProof/>
                <w:webHidden/>
              </w:rPr>
              <w:fldChar w:fldCharType="separate"/>
            </w:r>
            <w:r w:rsidR="00C13356">
              <w:rPr>
                <w:noProof/>
                <w:webHidden/>
              </w:rPr>
              <w:t>32</w:t>
            </w:r>
            <w:r w:rsidRPr="00E248EF">
              <w:rPr>
                <w:noProof/>
                <w:webHidden/>
              </w:rPr>
              <w:fldChar w:fldCharType="end"/>
            </w:r>
          </w:hyperlink>
        </w:p>
        <w:p w14:paraId="609FC1D3" w14:textId="780DEC94"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21" w:history="1">
            <w:r w:rsidRPr="00E248EF">
              <w:rPr>
                <w:rStyle w:val="Collegamentoipertestuale"/>
                <w:rFonts w:cs="Tahoma"/>
                <w:noProof/>
              </w:rPr>
              <w:t>1.9.2 Pagamento del compenso</w:t>
            </w:r>
            <w:r w:rsidRPr="00E248EF">
              <w:rPr>
                <w:noProof/>
                <w:webHidden/>
              </w:rPr>
              <w:tab/>
            </w:r>
            <w:r w:rsidRPr="00E248EF">
              <w:rPr>
                <w:noProof/>
                <w:webHidden/>
              </w:rPr>
              <w:fldChar w:fldCharType="begin"/>
            </w:r>
            <w:r w:rsidRPr="00E248EF">
              <w:rPr>
                <w:noProof/>
                <w:webHidden/>
              </w:rPr>
              <w:instrText xml:space="preserve"> PAGEREF _Toc124266221 \h </w:instrText>
            </w:r>
            <w:r w:rsidRPr="00E248EF">
              <w:rPr>
                <w:noProof/>
                <w:webHidden/>
              </w:rPr>
            </w:r>
            <w:r w:rsidRPr="00E248EF">
              <w:rPr>
                <w:noProof/>
                <w:webHidden/>
              </w:rPr>
              <w:fldChar w:fldCharType="separate"/>
            </w:r>
            <w:r w:rsidR="00C13356">
              <w:rPr>
                <w:noProof/>
                <w:webHidden/>
              </w:rPr>
              <w:t>33</w:t>
            </w:r>
            <w:r w:rsidRPr="00E248EF">
              <w:rPr>
                <w:noProof/>
                <w:webHidden/>
              </w:rPr>
              <w:fldChar w:fldCharType="end"/>
            </w:r>
          </w:hyperlink>
        </w:p>
        <w:p w14:paraId="6BDB9ACF" w14:textId="4B05E11E"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22" w:history="1">
            <w:r w:rsidRPr="00E248EF">
              <w:rPr>
                <w:rStyle w:val="Collegamentoipertestuale"/>
                <w:rFonts w:cs="Tahoma"/>
                <w:noProof/>
              </w:rPr>
              <w:t>1.9.3 Invenzioni del lavoratore</w:t>
            </w:r>
            <w:r w:rsidRPr="00E248EF">
              <w:rPr>
                <w:noProof/>
                <w:webHidden/>
              </w:rPr>
              <w:tab/>
            </w:r>
            <w:r w:rsidRPr="00E248EF">
              <w:rPr>
                <w:noProof/>
                <w:webHidden/>
              </w:rPr>
              <w:fldChar w:fldCharType="begin"/>
            </w:r>
            <w:r w:rsidRPr="00E248EF">
              <w:rPr>
                <w:noProof/>
                <w:webHidden/>
              </w:rPr>
              <w:instrText xml:space="preserve"> PAGEREF _Toc124266222 \h </w:instrText>
            </w:r>
            <w:r w:rsidRPr="00E248EF">
              <w:rPr>
                <w:noProof/>
                <w:webHidden/>
              </w:rPr>
            </w:r>
            <w:r w:rsidRPr="00E248EF">
              <w:rPr>
                <w:noProof/>
                <w:webHidden/>
              </w:rPr>
              <w:fldChar w:fldCharType="separate"/>
            </w:r>
            <w:r w:rsidR="00C13356">
              <w:rPr>
                <w:noProof/>
                <w:webHidden/>
              </w:rPr>
              <w:t>33</w:t>
            </w:r>
            <w:r w:rsidRPr="00E248EF">
              <w:rPr>
                <w:noProof/>
                <w:webHidden/>
              </w:rPr>
              <w:fldChar w:fldCharType="end"/>
            </w:r>
          </w:hyperlink>
        </w:p>
        <w:p w14:paraId="62CEEB43" w14:textId="21D35EB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23" w:history="1">
            <w:r w:rsidRPr="00E248EF">
              <w:rPr>
                <w:rStyle w:val="Collegamentoipertestuale"/>
                <w:rFonts w:cs="Tahoma"/>
                <w:noProof/>
              </w:rPr>
              <w:t>1.9.4 Eventi di gravidanza, malattia e infortunio</w:t>
            </w:r>
            <w:r w:rsidRPr="00E248EF">
              <w:rPr>
                <w:noProof/>
                <w:webHidden/>
              </w:rPr>
              <w:tab/>
            </w:r>
            <w:r w:rsidRPr="00E248EF">
              <w:rPr>
                <w:noProof/>
                <w:webHidden/>
              </w:rPr>
              <w:fldChar w:fldCharType="begin"/>
            </w:r>
            <w:r w:rsidRPr="00E248EF">
              <w:rPr>
                <w:noProof/>
                <w:webHidden/>
              </w:rPr>
              <w:instrText xml:space="preserve"> PAGEREF _Toc124266223 \h </w:instrText>
            </w:r>
            <w:r w:rsidRPr="00E248EF">
              <w:rPr>
                <w:noProof/>
                <w:webHidden/>
              </w:rPr>
            </w:r>
            <w:r w:rsidRPr="00E248EF">
              <w:rPr>
                <w:noProof/>
                <w:webHidden/>
              </w:rPr>
              <w:fldChar w:fldCharType="separate"/>
            </w:r>
            <w:r w:rsidR="00C13356">
              <w:rPr>
                <w:noProof/>
                <w:webHidden/>
              </w:rPr>
              <w:t>34</w:t>
            </w:r>
            <w:r w:rsidRPr="00E248EF">
              <w:rPr>
                <w:noProof/>
                <w:webHidden/>
              </w:rPr>
              <w:fldChar w:fldCharType="end"/>
            </w:r>
          </w:hyperlink>
        </w:p>
        <w:p w14:paraId="0748B555" w14:textId="50264AA2"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224" w:history="1">
            <w:r w:rsidRPr="00E248EF">
              <w:rPr>
                <w:rStyle w:val="Collegamentoipertestuale"/>
                <w:rFonts w:cs="Tahoma"/>
                <w:noProof/>
              </w:rPr>
              <w:t>2.</w:t>
            </w:r>
          </w:hyperlink>
          <w:r w:rsidRPr="00E248EF">
            <w:rPr>
              <w:rFonts w:eastAsiaTheme="minorEastAsia"/>
              <w:b w:val="0"/>
              <w:noProof/>
              <w:lang w:eastAsia="it-IT"/>
            </w:rPr>
            <w:t xml:space="preserve"> </w:t>
          </w:r>
          <w:hyperlink w:anchor="_Toc124266225" w:history="1">
            <w:r w:rsidRPr="00E248EF">
              <w:rPr>
                <w:rStyle w:val="Collegamentoipertestuale"/>
                <w:rFonts w:cs="Tahoma"/>
                <w:noProof/>
              </w:rPr>
              <w:t>Gli obblighi di comunicazione previsti dal Decreto “Fiscale”</w:t>
            </w:r>
            <w:r w:rsidRPr="00E248EF">
              <w:rPr>
                <w:noProof/>
                <w:webHidden/>
              </w:rPr>
              <w:tab/>
            </w:r>
            <w:r w:rsidRPr="00E248EF">
              <w:rPr>
                <w:noProof/>
                <w:webHidden/>
              </w:rPr>
              <w:fldChar w:fldCharType="begin"/>
            </w:r>
            <w:r w:rsidRPr="00E248EF">
              <w:rPr>
                <w:noProof/>
                <w:webHidden/>
              </w:rPr>
              <w:instrText xml:space="preserve"> PAGEREF _Toc124266225 \h </w:instrText>
            </w:r>
            <w:r w:rsidRPr="00E248EF">
              <w:rPr>
                <w:noProof/>
                <w:webHidden/>
              </w:rPr>
            </w:r>
            <w:r w:rsidRPr="00E248EF">
              <w:rPr>
                <w:noProof/>
                <w:webHidden/>
              </w:rPr>
              <w:fldChar w:fldCharType="separate"/>
            </w:r>
            <w:r w:rsidR="00C13356">
              <w:rPr>
                <w:noProof/>
                <w:webHidden/>
              </w:rPr>
              <w:t>35</w:t>
            </w:r>
            <w:r w:rsidRPr="00E248EF">
              <w:rPr>
                <w:noProof/>
                <w:webHidden/>
              </w:rPr>
              <w:fldChar w:fldCharType="end"/>
            </w:r>
          </w:hyperlink>
        </w:p>
        <w:p w14:paraId="0B6131A8" w14:textId="62CE3534"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26" w:history="1">
            <w:r w:rsidRPr="00E248EF">
              <w:rPr>
                <w:rStyle w:val="Collegamentoipertestuale"/>
                <w:rFonts w:cs="Tahoma"/>
                <w:noProof/>
                <w:szCs w:val="20"/>
              </w:rPr>
              <w:t>2.1 Il rinvio al lavoro intermittente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_Toc124266226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40</w:t>
            </w:r>
            <w:r w:rsidRPr="00E248EF">
              <w:rPr>
                <w:rFonts w:cs="Tahoma"/>
                <w:noProof/>
                <w:webHidden/>
                <w:szCs w:val="20"/>
              </w:rPr>
              <w:fldChar w:fldCharType="end"/>
            </w:r>
          </w:hyperlink>
        </w:p>
        <w:p w14:paraId="2ABAC137" w14:textId="61E8BBF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27" w:history="1">
            <w:r w:rsidRPr="00E248EF">
              <w:rPr>
                <w:rStyle w:val="Collegamentoipertestuale"/>
                <w:rFonts w:cs="Tahoma"/>
                <w:noProof/>
                <w:szCs w:val="20"/>
              </w:rPr>
              <w:t>2.2 Sanzioni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_Toc124266227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41</w:t>
            </w:r>
            <w:r w:rsidRPr="00E248EF">
              <w:rPr>
                <w:rFonts w:cs="Tahoma"/>
                <w:noProof/>
                <w:webHidden/>
                <w:szCs w:val="20"/>
              </w:rPr>
              <w:fldChar w:fldCharType="end"/>
            </w:r>
          </w:hyperlink>
        </w:p>
        <w:p w14:paraId="599323E2" w14:textId="3BEBE635"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28" w:history="1">
            <w:r w:rsidRPr="00E248EF">
              <w:rPr>
                <w:rStyle w:val="Collegamentoipertestuale"/>
                <w:rFonts w:cs="Tahoma"/>
                <w:noProof/>
                <w:szCs w:val="20"/>
              </w:rPr>
              <w:t>2.3 Sospensione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_Toc124266228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42</w:t>
            </w:r>
            <w:r w:rsidRPr="00E248EF">
              <w:rPr>
                <w:rFonts w:cs="Tahoma"/>
                <w:noProof/>
                <w:webHidden/>
                <w:szCs w:val="20"/>
              </w:rPr>
              <w:fldChar w:fldCharType="end"/>
            </w:r>
          </w:hyperlink>
        </w:p>
        <w:p w14:paraId="7CD48B2F" w14:textId="568F21D9"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29" w:history="1">
            <w:r w:rsidRPr="00E248EF">
              <w:rPr>
                <w:rStyle w:val="Collegamentoipertestuale"/>
                <w:rFonts w:cs="Tahoma"/>
                <w:noProof/>
                <w:szCs w:val="20"/>
              </w:rPr>
              <w:t>2.4 Organi competenti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_Toc124266229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43</w:t>
            </w:r>
            <w:r w:rsidRPr="00E248EF">
              <w:rPr>
                <w:rFonts w:cs="Tahoma"/>
                <w:noProof/>
                <w:webHidden/>
                <w:szCs w:val="20"/>
              </w:rPr>
              <w:fldChar w:fldCharType="end"/>
            </w:r>
          </w:hyperlink>
        </w:p>
        <w:p w14:paraId="00EC9479" w14:textId="777EC537"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0" w:history="1">
            <w:r w:rsidRPr="00E248EF">
              <w:rPr>
                <w:rStyle w:val="Collegamentoipertestuale"/>
                <w:rFonts w:cs="Tahoma"/>
                <w:noProof/>
                <w:szCs w:val="20"/>
              </w:rPr>
              <w:t>2.5 Effetti della sospensione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_Toc124266230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44</w:t>
            </w:r>
            <w:r w:rsidRPr="00E248EF">
              <w:rPr>
                <w:rFonts w:cs="Tahoma"/>
                <w:noProof/>
                <w:webHidden/>
                <w:szCs w:val="20"/>
              </w:rPr>
              <w:fldChar w:fldCharType="end"/>
            </w:r>
          </w:hyperlink>
        </w:p>
        <w:p w14:paraId="0F0885F4" w14:textId="7A6418FF"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1" w:history="1">
            <w:r w:rsidRPr="00E248EF">
              <w:rPr>
                <w:rStyle w:val="Collegamentoipertestuale"/>
                <w:rFonts w:cs="Tahoma"/>
                <w:noProof/>
                <w:szCs w:val="20"/>
              </w:rPr>
              <w:t>2.6 Revoca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_Toc124266231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44</w:t>
            </w:r>
            <w:r w:rsidRPr="00E248EF">
              <w:rPr>
                <w:rFonts w:cs="Tahoma"/>
                <w:noProof/>
                <w:webHidden/>
                <w:szCs w:val="20"/>
              </w:rPr>
              <w:fldChar w:fldCharType="end"/>
            </w:r>
          </w:hyperlink>
        </w:p>
        <w:p w14:paraId="5507AA9F" w14:textId="7E930EFB"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2" w:history="1">
            <w:r w:rsidRPr="00E248EF">
              <w:rPr>
                <w:rStyle w:val="Collegamentoipertestuale"/>
                <w:rFonts w:cs="Tahoma"/>
                <w:noProof/>
                <w:szCs w:val="20"/>
              </w:rPr>
              <w:t>2.7 Ricorso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45</w:t>
            </w:r>
            <w:r w:rsidRPr="00E248EF">
              <w:rPr>
                <w:rFonts w:cs="Tahoma"/>
                <w:noProof/>
                <w:webHidden/>
                <w:szCs w:val="20"/>
              </w:rPr>
              <w:fldChar w:fldCharType="end"/>
            </w:r>
          </w:hyperlink>
        </w:p>
        <w:p w14:paraId="222977F5" w14:textId="66369C16"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3" w:history="1">
            <w:r w:rsidRPr="00E248EF">
              <w:rPr>
                <w:rStyle w:val="Collegamentoipertestuale"/>
                <w:rFonts w:cs="Tahoma"/>
                <w:noProof/>
                <w:szCs w:val="20"/>
              </w:rPr>
              <w:t>2.8 Lavoratori irregolari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_Toc124266233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45</w:t>
            </w:r>
            <w:r w:rsidRPr="00E248EF">
              <w:rPr>
                <w:rFonts w:cs="Tahoma"/>
                <w:noProof/>
                <w:webHidden/>
                <w:szCs w:val="20"/>
              </w:rPr>
              <w:fldChar w:fldCharType="end"/>
            </w:r>
          </w:hyperlink>
        </w:p>
        <w:p w14:paraId="2BEBBA3D" w14:textId="4F9C9B9F"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4" w:history="1">
            <w:r w:rsidRPr="00E248EF">
              <w:rPr>
                <w:rStyle w:val="Collegamentoipertestuale"/>
                <w:rFonts w:cs="Tahoma"/>
                <w:noProof/>
                <w:szCs w:val="20"/>
              </w:rPr>
              <w:t>2.9 Gravi violazioni in materia di salute e sicurezza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_Toc124266234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46</w:t>
            </w:r>
            <w:r w:rsidRPr="00E248EF">
              <w:rPr>
                <w:rFonts w:cs="Tahoma"/>
                <w:noProof/>
                <w:webHidden/>
                <w:szCs w:val="20"/>
              </w:rPr>
              <w:fldChar w:fldCharType="end"/>
            </w:r>
          </w:hyperlink>
        </w:p>
        <w:p w14:paraId="7AFADD29" w14:textId="30F9358E"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235" w:history="1">
            <w:r w:rsidRPr="00E248EF">
              <w:rPr>
                <w:rStyle w:val="Collegamentoipertestuale"/>
                <w:rFonts w:cs="Tahoma"/>
                <w:noProof/>
              </w:rPr>
              <w:t>3</w:t>
            </w:r>
          </w:hyperlink>
          <w:r w:rsidRPr="00E248EF">
            <w:rPr>
              <w:rFonts w:eastAsiaTheme="minorEastAsia"/>
              <w:b w:val="0"/>
              <w:noProof/>
              <w:lang w:eastAsia="it-IT"/>
            </w:rPr>
            <w:t xml:space="preserve">. </w:t>
          </w:r>
          <w:hyperlink w:anchor="_Toc124266236" w:history="1">
            <w:r w:rsidRPr="00E248EF">
              <w:rPr>
                <w:rStyle w:val="Collegamentoipertestuale"/>
                <w:rFonts w:cs="Tahoma"/>
                <w:noProof/>
              </w:rPr>
              <w:t>Copertura previdenziale</w:t>
            </w:r>
            <w:r w:rsidRPr="00E248EF">
              <w:rPr>
                <w:noProof/>
                <w:webHidden/>
              </w:rPr>
              <w:tab/>
            </w:r>
            <w:r w:rsidRPr="00E248EF">
              <w:rPr>
                <w:noProof/>
                <w:webHidden/>
              </w:rPr>
              <w:fldChar w:fldCharType="begin"/>
            </w:r>
            <w:r w:rsidRPr="00E248EF">
              <w:rPr>
                <w:noProof/>
                <w:webHidden/>
              </w:rPr>
              <w:instrText xml:space="preserve"> PAGEREF _Toc124266236 \h </w:instrText>
            </w:r>
            <w:r w:rsidRPr="00E248EF">
              <w:rPr>
                <w:noProof/>
                <w:webHidden/>
              </w:rPr>
            </w:r>
            <w:r w:rsidRPr="00E248EF">
              <w:rPr>
                <w:noProof/>
                <w:webHidden/>
              </w:rPr>
              <w:fldChar w:fldCharType="separate"/>
            </w:r>
            <w:r w:rsidR="00C13356">
              <w:rPr>
                <w:noProof/>
                <w:webHidden/>
              </w:rPr>
              <w:t>48</w:t>
            </w:r>
            <w:r w:rsidRPr="00E248EF">
              <w:rPr>
                <w:noProof/>
                <w:webHidden/>
              </w:rPr>
              <w:fldChar w:fldCharType="end"/>
            </w:r>
          </w:hyperlink>
        </w:p>
        <w:p w14:paraId="0503572C" w14:textId="005A769D"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7" w:history="1">
            <w:r w:rsidRPr="00E248EF">
              <w:rPr>
                <w:rStyle w:val="Collegamentoipertestuale"/>
                <w:rFonts w:cs="Tahoma"/>
                <w:noProof/>
                <w:szCs w:val="20"/>
              </w:rPr>
              <w:t>3.1 Adempimenti conseguenti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49</w:t>
            </w:r>
            <w:r w:rsidRPr="00E248EF">
              <w:rPr>
                <w:rFonts w:cs="Tahoma"/>
                <w:noProof/>
                <w:webHidden/>
                <w:szCs w:val="20"/>
              </w:rPr>
              <w:fldChar w:fldCharType="end"/>
            </w:r>
          </w:hyperlink>
        </w:p>
        <w:p w14:paraId="6C33EE66" w14:textId="70639E45"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8" w:history="1">
            <w:r w:rsidRPr="00E248EF">
              <w:rPr>
                <w:rStyle w:val="Collegamentoipertestuale"/>
                <w:rFonts w:cs="Tahoma"/>
                <w:noProof/>
                <w:szCs w:val="20"/>
              </w:rPr>
              <w:t>3.2 Procedura di iscrizione alla Gestione Separata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49</w:t>
            </w:r>
            <w:r w:rsidRPr="00E248EF">
              <w:rPr>
                <w:rFonts w:cs="Tahoma"/>
                <w:noProof/>
                <w:webHidden/>
                <w:szCs w:val="20"/>
              </w:rPr>
              <w:fldChar w:fldCharType="end"/>
            </w:r>
          </w:hyperlink>
        </w:p>
        <w:p w14:paraId="1F4DC0D5" w14:textId="163BE7AD"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39" w:history="1">
            <w:r w:rsidRPr="00E248EF">
              <w:rPr>
                <w:rStyle w:val="Collegamentoipertestuale"/>
                <w:rFonts w:cs="Tahoma"/>
                <w:noProof/>
                <w:szCs w:val="20"/>
              </w:rPr>
              <w:t>3.3 Compilazione della domanda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_Toc124266239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50</w:t>
            </w:r>
            <w:r w:rsidRPr="00E248EF">
              <w:rPr>
                <w:rFonts w:cs="Tahoma"/>
                <w:noProof/>
                <w:webHidden/>
                <w:szCs w:val="20"/>
              </w:rPr>
              <w:fldChar w:fldCharType="end"/>
            </w:r>
          </w:hyperlink>
        </w:p>
        <w:p w14:paraId="04EB75F0" w14:textId="3AAE69C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0" w:history="1">
            <w:r w:rsidRPr="00E248EF">
              <w:rPr>
                <w:rStyle w:val="Collegamentoipertestuale"/>
                <w:rFonts w:cs="Tahoma"/>
                <w:noProof/>
                <w:szCs w:val="20"/>
              </w:rPr>
              <w:t>3.4 Cassetto previdenziale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_Toc124266240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50</w:t>
            </w:r>
            <w:r w:rsidRPr="00E248EF">
              <w:rPr>
                <w:rFonts w:cs="Tahoma"/>
                <w:noProof/>
                <w:webHidden/>
                <w:szCs w:val="20"/>
              </w:rPr>
              <w:fldChar w:fldCharType="end"/>
            </w:r>
          </w:hyperlink>
        </w:p>
        <w:p w14:paraId="58182166" w14:textId="50DF2E3B"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1" w:history="1">
            <w:r w:rsidRPr="00E248EF">
              <w:rPr>
                <w:rStyle w:val="Collegamentoipertestuale"/>
                <w:rFonts w:cs="Tahoma"/>
                <w:noProof/>
                <w:szCs w:val="20"/>
              </w:rPr>
              <w:t>3.5 Contribuzione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_Toc124266241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51</w:t>
            </w:r>
            <w:r w:rsidRPr="00E248EF">
              <w:rPr>
                <w:rFonts w:cs="Tahoma"/>
                <w:noProof/>
                <w:webHidden/>
                <w:szCs w:val="20"/>
              </w:rPr>
              <w:fldChar w:fldCharType="end"/>
            </w:r>
          </w:hyperlink>
        </w:p>
        <w:p w14:paraId="30C61C26" w14:textId="403EDC4D"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2" w:history="1">
            <w:r w:rsidRPr="00E248EF">
              <w:rPr>
                <w:rStyle w:val="Collegamentoipertestuale"/>
                <w:rFonts w:cs="Tahoma"/>
                <w:noProof/>
                <w:szCs w:val="20"/>
              </w:rPr>
              <w:t>3.6 Iscritti in via esclusiva alla Gestione Separata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51</w:t>
            </w:r>
            <w:r w:rsidRPr="00E248EF">
              <w:rPr>
                <w:rFonts w:cs="Tahoma"/>
                <w:noProof/>
                <w:webHidden/>
                <w:szCs w:val="20"/>
              </w:rPr>
              <w:fldChar w:fldCharType="end"/>
            </w:r>
          </w:hyperlink>
        </w:p>
        <w:p w14:paraId="3B32AC55" w14:textId="0E6F9C86"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3" w:history="1">
            <w:r w:rsidRPr="00E248EF">
              <w:rPr>
                <w:rStyle w:val="Collegamentoipertestuale"/>
                <w:rFonts w:cs="Tahoma"/>
                <w:noProof/>
                <w:szCs w:val="20"/>
              </w:rPr>
              <w:t>3.7 Iscritti già pensionati o assicurati presso altre forme previdenziali obbligatorie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_Toc124266243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51</w:t>
            </w:r>
            <w:r w:rsidRPr="00E248EF">
              <w:rPr>
                <w:rFonts w:cs="Tahoma"/>
                <w:noProof/>
                <w:webHidden/>
                <w:szCs w:val="20"/>
              </w:rPr>
              <w:fldChar w:fldCharType="end"/>
            </w:r>
          </w:hyperlink>
        </w:p>
        <w:p w14:paraId="2209FA25" w14:textId="74958766"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4" w:history="1">
            <w:r w:rsidRPr="00E248EF">
              <w:rPr>
                <w:rStyle w:val="Collegamentoipertestuale"/>
                <w:rFonts w:cs="Tahoma"/>
                <w:noProof/>
                <w:szCs w:val="20"/>
              </w:rPr>
              <w:t>3.8 Base imponibile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_Toc124266244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52</w:t>
            </w:r>
            <w:r w:rsidRPr="00E248EF">
              <w:rPr>
                <w:rFonts w:cs="Tahoma"/>
                <w:noProof/>
                <w:webHidden/>
                <w:szCs w:val="20"/>
              </w:rPr>
              <w:fldChar w:fldCharType="end"/>
            </w:r>
          </w:hyperlink>
        </w:p>
        <w:p w14:paraId="73CE18EE" w14:textId="4A90A467"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5" w:history="1">
            <w:r w:rsidRPr="00E248EF">
              <w:rPr>
                <w:rStyle w:val="Collegamentoipertestuale"/>
                <w:rFonts w:cs="Tahoma"/>
                <w:noProof/>
                <w:szCs w:val="20"/>
              </w:rPr>
              <w:t>3.9 Calcolo INPS: lavoratore non iscritto ad altra forma previdenziale né pensionato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_Toc124266245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52</w:t>
            </w:r>
            <w:r w:rsidRPr="00E248EF">
              <w:rPr>
                <w:rFonts w:cs="Tahoma"/>
                <w:noProof/>
                <w:webHidden/>
                <w:szCs w:val="20"/>
              </w:rPr>
              <w:fldChar w:fldCharType="end"/>
            </w:r>
          </w:hyperlink>
        </w:p>
        <w:p w14:paraId="449F6B35" w14:textId="55A777DE"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6" w:history="1">
            <w:r w:rsidRPr="00E248EF">
              <w:rPr>
                <w:rStyle w:val="Collegamentoipertestuale"/>
                <w:rFonts w:cs="Tahoma"/>
                <w:noProof/>
                <w:szCs w:val="20"/>
              </w:rPr>
              <w:t>3.10 Calcolo INPS: lavoratore iscritto ad altra forma previdenziale o pensionato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_Toc124266246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52</w:t>
            </w:r>
            <w:r w:rsidRPr="00E248EF">
              <w:rPr>
                <w:rFonts w:cs="Tahoma"/>
                <w:noProof/>
                <w:webHidden/>
                <w:szCs w:val="20"/>
              </w:rPr>
              <w:fldChar w:fldCharType="end"/>
            </w:r>
          </w:hyperlink>
        </w:p>
        <w:p w14:paraId="32E096C3" w14:textId="7F4D0659"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7" w:history="1">
            <w:r w:rsidRPr="00E248EF">
              <w:rPr>
                <w:rStyle w:val="Collegamentoipertestuale"/>
                <w:rFonts w:cs="Tahoma"/>
                <w:noProof/>
                <w:szCs w:val="20"/>
              </w:rPr>
              <w:t>3.11 Massimale contributivo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53</w:t>
            </w:r>
            <w:r w:rsidRPr="00E248EF">
              <w:rPr>
                <w:rFonts w:cs="Tahoma"/>
                <w:noProof/>
                <w:webHidden/>
                <w:szCs w:val="20"/>
              </w:rPr>
              <w:fldChar w:fldCharType="end"/>
            </w:r>
          </w:hyperlink>
        </w:p>
        <w:p w14:paraId="6D048DC1" w14:textId="24AF4C5A"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8" w:history="1">
            <w:r w:rsidRPr="00E248EF">
              <w:rPr>
                <w:rStyle w:val="Collegamentoipertestuale"/>
                <w:rFonts w:cs="Tahoma"/>
                <w:noProof/>
                <w:szCs w:val="20"/>
              </w:rPr>
              <w:t>3.12 Versamento dei contributi</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53</w:t>
            </w:r>
            <w:r w:rsidRPr="00E248EF">
              <w:rPr>
                <w:rFonts w:cs="Tahoma"/>
                <w:noProof/>
                <w:webHidden/>
                <w:szCs w:val="20"/>
              </w:rPr>
              <w:fldChar w:fldCharType="end"/>
            </w:r>
          </w:hyperlink>
        </w:p>
        <w:p w14:paraId="62BF19ED" w14:textId="4743F9D1"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49" w:history="1">
            <w:r w:rsidRPr="00E248EF">
              <w:rPr>
                <w:rStyle w:val="Collegamentoipertestuale"/>
                <w:rFonts w:cs="Tahoma"/>
                <w:noProof/>
                <w:szCs w:val="20"/>
              </w:rPr>
              <w:t>3.13 Principio di cassa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_Toc124266249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54</w:t>
            </w:r>
            <w:r w:rsidRPr="00E248EF">
              <w:rPr>
                <w:rFonts w:cs="Tahoma"/>
                <w:noProof/>
                <w:webHidden/>
                <w:szCs w:val="20"/>
              </w:rPr>
              <w:fldChar w:fldCharType="end"/>
            </w:r>
          </w:hyperlink>
        </w:p>
        <w:p w14:paraId="585279D4" w14:textId="7058AD11"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50" w:history="1">
            <w:r w:rsidRPr="00E248EF">
              <w:rPr>
                <w:rStyle w:val="Collegamentoipertestuale"/>
                <w:rFonts w:cs="Tahoma"/>
                <w:noProof/>
                <w:szCs w:val="20"/>
              </w:rPr>
              <w:t>3.14 Compilazione F24</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_Toc124266250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54</w:t>
            </w:r>
            <w:r w:rsidRPr="00E248EF">
              <w:rPr>
                <w:rFonts w:cs="Tahoma"/>
                <w:noProof/>
                <w:webHidden/>
                <w:szCs w:val="20"/>
              </w:rPr>
              <w:fldChar w:fldCharType="end"/>
            </w:r>
          </w:hyperlink>
        </w:p>
        <w:p w14:paraId="6F18A6F5" w14:textId="7B78334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51" w:history="1">
            <w:r w:rsidRPr="00E248EF">
              <w:rPr>
                <w:rStyle w:val="Collegamentoipertestuale"/>
                <w:rFonts w:cs="Tahoma"/>
                <w:noProof/>
                <w:szCs w:val="20"/>
              </w:rPr>
              <w:t>3.15 Denuncia UniEmens</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_Toc124266251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55</w:t>
            </w:r>
            <w:r w:rsidRPr="00E248EF">
              <w:rPr>
                <w:rFonts w:cs="Tahoma"/>
                <w:noProof/>
                <w:webHidden/>
                <w:szCs w:val="20"/>
              </w:rPr>
              <w:fldChar w:fldCharType="end"/>
            </w:r>
          </w:hyperlink>
        </w:p>
        <w:p w14:paraId="1FCA0941" w14:textId="4CC12AE5"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52" w:history="1">
            <w:r w:rsidRPr="00E248EF">
              <w:rPr>
                <w:rStyle w:val="Collegamentoipertestuale"/>
                <w:rFonts w:cs="Tahoma"/>
                <w:noProof/>
                <w:szCs w:val="20"/>
              </w:rPr>
              <w:t>3.16 Compilazione denuncia UniEmens</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_Toc124266252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56</w:t>
            </w:r>
            <w:r w:rsidRPr="00E248EF">
              <w:rPr>
                <w:rFonts w:cs="Tahoma"/>
                <w:noProof/>
                <w:webHidden/>
                <w:szCs w:val="20"/>
              </w:rPr>
              <w:fldChar w:fldCharType="end"/>
            </w:r>
          </w:hyperlink>
        </w:p>
        <w:p w14:paraId="24D1CD05" w14:textId="30BD436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3" w:history="1">
            <w:r w:rsidRPr="00E248EF">
              <w:rPr>
                <w:rStyle w:val="Collegamentoipertestuale"/>
                <w:rFonts w:cs="Tahoma"/>
                <w:noProof/>
              </w:rPr>
              <w:t>3.16.1 Codice Comune</w:t>
            </w:r>
            <w:r w:rsidRPr="00E248EF">
              <w:rPr>
                <w:noProof/>
                <w:webHidden/>
              </w:rPr>
              <w:tab/>
            </w:r>
            <w:r w:rsidRPr="00E248EF">
              <w:rPr>
                <w:noProof/>
                <w:webHidden/>
              </w:rPr>
              <w:fldChar w:fldCharType="begin"/>
            </w:r>
            <w:r w:rsidRPr="00E248EF">
              <w:rPr>
                <w:noProof/>
                <w:webHidden/>
              </w:rPr>
              <w:instrText xml:space="preserve"> PAGEREF _Toc124266253 \h </w:instrText>
            </w:r>
            <w:r w:rsidRPr="00E248EF">
              <w:rPr>
                <w:noProof/>
                <w:webHidden/>
              </w:rPr>
            </w:r>
            <w:r w:rsidRPr="00E248EF">
              <w:rPr>
                <w:noProof/>
                <w:webHidden/>
              </w:rPr>
              <w:fldChar w:fldCharType="separate"/>
            </w:r>
            <w:r w:rsidR="00C13356">
              <w:rPr>
                <w:noProof/>
                <w:webHidden/>
              </w:rPr>
              <w:t>56</w:t>
            </w:r>
            <w:r w:rsidRPr="00E248EF">
              <w:rPr>
                <w:noProof/>
                <w:webHidden/>
              </w:rPr>
              <w:fldChar w:fldCharType="end"/>
            </w:r>
          </w:hyperlink>
        </w:p>
        <w:p w14:paraId="1FB2FA75" w14:textId="1C7E83A2"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4" w:history="1">
            <w:r w:rsidRPr="00E248EF">
              <w:rPr>
                <w:rStyle w:val="Collegamentoipertestuale"/>
                <w:rFonts w:cs="Tahoma"/>
                <w:noProof/>
              </w:rPr>
              <w:t>3.16.2 Tipo Rapporto</w:t>
            </w:r>
            <w:r w:rsidRPr="00E248EF">
              <w:rPr>
                <w:noProof/>
                <w:webHidden/>
              </w:rPr>
              <w:tab/>
            </w:r>
            <w:r w:rsidRPr="00E248EF">
              <w:rPr>
                <w:noProof/>
                <w:webHidden/>
              </w:rPr>
              <w:fldChar w:fldCharType="begin"/>
            </w:r>
            <w:r w:rsidRPr="00E248EF">
              <w:rPr>
                <w:noProof/>
                <w:webHidden/>
              </w:rPr>
              <w:instrText xml:space="preserve"> PAGEREF _Toc124266254 \h </w:instrText>
            </w:r>
            <w:r w:rsidRPr="00E248EF">
              <w:rPr>
                <w:noProof/>
                <w:webHidden/>
              </w:rPr>
            </w:r>
            <w:r w:rsidRPr="00E248EF">
              <w:rPr>
                <w:noProof/>
                <w:webHidden/>
              </w:rPr>
              <w:fldChar w:fldCharType="separate"/>
            </w:r>
            <w:r w:rsidR="00C13356">
              <w:rPr>
                <w:noProof/>
                <w:webHidden/>
              </w:rPr>
              <w:t>57</w:t>
            </w:r>
            <w:r w:rsidRPr="00E248EF">
              <w:rPr>
                <w:noProof/>
                <w:webHidden/>
              </w:rPr>
              <w:fldChar w:fldCharType="end"/>
            </w:r>
          </w:hyperlink>
        </w:p>
        <w:p w14:paraId="303F127A" w14:textId="7C14029E"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5" w:history="1">
            <w:r w:rsidRPr="00E248EF">
              <w:rPr>
                <w:rStyle w:val="Collegamentoipertestuale"/>
                <w:rFonts w:cs="Tahoma"/>
                <w:noProof/>
              </w:rPr>
              <w:t>3.16.3 Aliquote contributive</w:t>
            </w:r>
            <w:r w:rsidRPr="00E248EF">
              <w:rPr>
                <w:noProof/>
                <w:webHidden/>
              </w:rPr>
              <w:tab/>
            </w:r>
            <w:r w:rsidRPr="00E248EF">
              <w:rPr>
                <w:noProof/>
                <w:webHidden/>
              </w:rPr>
              <w:fldChar w:fldCharType="begin"/>
            </w:r>
            <w:r w:rsidRPr="00E248EF">
              <w:rPr>
                <w:noProof/>
                <w:webHidden/>
              </w:rPr>
              <w:instrText xml:space="preserve"> PAGEREF _Toc124266255 \h </w:instrText>
            </w:r>
            <w:r w:rsidRPr="00E248EF">
              <w:rPr>
                <w:noProof/>
                <w:webHidden/>
              </w:rPr>
            </w:r>
            <w:r w:rsidRPr="00E248EF">
              <w:rPr>
                <w:noProof/>
                <w:webHidden/>
              </w:rPr>
              <w:fldChar w:fldCharType="separate"/>
            </w:r>
            <w:r w:rsidR="00C13356">
              <w:rPr>
                <w:noProof/>
                <w:webHidden/>
              </w:rPr>
              <w:t>58</w:t>
            </w:r>
            <w:r w:rsidRPr="00E248EF">
              <w:rPr>
                <w:noProof/>
                <w:webHidden/>
              </w:rPr>
              <w:fldChar w:fldCharType="end"/>
            </w:r>
          </w:hyperlink>
        </w:p>
        <w:p w14:paraId="7EB4A018" w14:textId="1840318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6" w:history="1">
            <w:r w:rsidRPr="00E248EF">
              <w:rPr>
                <w:rStyle w:val="Collegamentoipertestuale"/>
                <w:rFonts w:cs="Tahoma"/>
                <w:noProof/>
              </w:rPr>
              <w:t>3.16.4 Data inizio e fine attività</w:t>
            </w:r>
            <w:r w:rsidRPr="00E248EF">
              <w:rPr>
                <w:noProof/>
                <w:webHidden/>
              </w:rPr>
              <w:tab/>
            </w:r>
            <w:r w:rsidRPr="00E248EF">
              <w:rPr>
                <w:noProof/>
                <w:webHidden/>
              </w:rPr>
              <w:fldChar w:fldCharType="begin"/>
            </w:r>
            <w:r w:rsidRPr="00E248EF">
              <w:rPr>
                <w:noProof/>
                <w:webHidden/>
              </w:rPr>
              <w:instrText xml:space="preserve"> PAGEREF _Toc124266256 \h </w:instrText>
            </w:r>
            <w:r w:rsidRPr="00E248EF">
              <w:rPr>
                <w:noProof/>
                <w:webHidden/>
              </w:rPr>
            </w:r>
            <w:r w:rsidRPr="00E248EF">
              <w:rPr>
                <w:noProof/>
                <w:webHidden/>
              </w:rPr>
              <w:fldChar w:fldCharType="separate"/>
            </w:r>
            <w:r w:rsidR="00C13356">
              <w:rPr>
                <w:noProof/>
                <w:webHidden/>
              </w:rPr>
              <w:t>59</w:t>
            </w:r>
            <w:r w:rsidRPr="00E248EF">
              <w:rPr>
                <w:noProof/>
                <w:webHidden/>
              </w:rPr>
              <w:fldChar w:fldCharType="end"/>
            </w:r>
          </w:hyperlink>
        </w:p>
        <w:p w14:paraId="726EA763" w14:textId="5580603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7" w:history="1">
            <w:r w:rsidRPr="00E248EF">
              <w:rPr>
                <w:rStyle w:val="Collegamentoipertestuale"/>
                <w:rFonts w:cs="Tahoma"/>
                <w:noProof/>
              </w:rPr>
              <w:t>3.16.5 Calamità</w:t>
            </w:r>
            <w:r w:rsidRPr="00E248EF">
              <w:rPr>
                <w:noProof/>
                <w:webHidden/>
              </w:rPr>
              <w:tab/>
            </w:r>
            <w:r w:rsidRPr="00E248EF">
              <w:rPr>
                <w:noProof/>
                <w:webHidden/>
              </w:rPr>
              <w:fldChar w:fldCharType="begin"/>
            </w:r>
            <w:r w:rsidRPr="00E248EF">
              <w:rPr>
                <w:noProof/>
                <w:webHidden/>
              </w:rPr>
              <w:instrText xml:space="preserve"> PAGEREF _Toc124266257 \h </w:instrText>
            </w:r>
            <w:r w:rsidRPr="00E248EF">
              <w:rPr>
                <w:noProof/>
                <w:webHidden/>
              </w:rPr>
            </w:r>
            <w:r w:rsidRPr="00E248EF">
              <w:rPr>
                <w:noProof/>
                <w:webHidden/>
              </w:rPr>
              <w:fldChar w:fldCharType="separate"/>
            </w:r>
            <w:r w:rsidR="00C13356">
              <w:rPr>
                <w:noProof/>
                <w:webHidden/>
              </w:rPr>
              <w:t>60</w:t>
            </w:r>
            <w:r w:rsidRPr="00E248EF">
              <w:rPr>
                <w:noProof/>
                <w:webHidden/>
              </w:rPr>
              <w:fldChar w:fldCharType="end"/>
            </w:r>
          </w:hyperlink>
        </w:p>
        <w:p w14:paraId="1A1865BF" w14:textId="7545021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8" w:history="1">
            <w:r w:rsidRPr="00E248EF">
              <w:rPr>
                <w:rStyle w:val="Collegamentoipertestuale"/>
                <w:rFonts w:cs="Tahoma"/>
                <w:noProof/>
              </w:rPr>
              <w:t>3.16.6 Certificazione del contratto</w:t>
            </w:r>
            <w:r w:rsidRPr="00E248EF">
              <w:rPr>
                <w:noProof/>
                <w:webHidden/>
              </w:rPr>
              <w:tab/>
            </w:r>
            <w:r w:rsidRPr="00E248EF">
              <w:rPr>
                <w:noProof/>
                <w:webHidden/>
              </w:rPr>
              <w:fldChar w:fldCharType="begin"/>
            </w:r>
            <w:r w:rsidRPr="00E248EF">
              <w:rPr>
                <w:noProof/>
                <w:webHidden/>
              </w:rPr>
              <w:instrText xml:space="preserve"> PAGEREF _Toc124266258 \h </w:instrText>
            </w:r>
            <w:r w:rsidRPr="00E248EF">
              <w:rPr>
                <w:noProof/>
                <w:webHidden/>
              </w:rPr>
            </w:r>
            <w:r w:rsidRPr="00E248EF">
              <w:rPr>
                <w:noProof/>
                <w:webHidden/>
              </w:rPr>
              <w:fldChar w:fldCharType="separate"/>
            </w:r>
            <w:r w:rsidR="00C13356">
              <w:rPr>
                <w:noProof/>
                <w:webHidden/>
              </w:rPr>
              <w:t>60</w:t>
            </w:r>
            <w:r w:rsidRPr="00E248EF">
              <w:rPr>
                <w:noProof/>
                <w:webHidden/>
              </w:rPr>
              <w:fldChar w:fldCharType="end"/>
            </w:r>
          </w:hyperlink>
        </w:p>
        <w:p w14:paraId="35040FB4" w14:textId="6EA8C8DA"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59" w:history="1">
            <w:r w:rsidRPr="00E248EF">
              <w:rPr>
                <w:rStyle w:val="Collegamentoipertestuale"/>
                <w:rFonts w:cs="Tahoma"/>
                <w:noProof/>
              </w:rPr>
              <w:t>3.16.7 Agevolazioni</w:t>
            </w:r>
            <w:r w:rsidRPr="00E248EF">
              <w:rPr>
                <w:noProof/>
                <w:webHidden/>
              </w:rPr>
              <w:tab/>
            </w:r>
            <w:r w:rsidRPr="00E248EF">
              <w:rPr>
                <w:noProof/>
                <w:webHidden/>
              </w:rPr>
              <w:fldChar w:fldCharType="begin"/>
            </w:r>
            <w:r w:rsidRPr="00E248EF">
              <w:rPr>
                <w:noProof/>
                <w:webHidden/>
              </w:rPr>
              <w:instrText xml:space="preserve"> PAGEREF _Toc124266259 \h </w:instrText>
            </w:r>
            <w:r w:rsidRPr="00E248EF">
              <w:rPr>
                <w:noProof/>
                <w:webHidden/>
              </w:rPr>
            </w:r>
            <w:r w:rsidRPr="00E248EF">
              <w:rPr>
                <w:noProof/>
                <w:webHidden/>
              </w:rPr>
              <w:fldChar w:fldCharType="separate"/>
            </w:r>
            <w:r w:rsidR="00C13356">
              <w:rPr>
                <w:noProof/>
                <w:webHidden/>
              </w:rPr>
              <w:t>60</w:t>
            </w:r>
            <w:r w:rsidRPr="00E248EF">
              <w:rPr>
                <w:noProof/>
                <w:webHidden/>
              </w:rPr>
              <w:fldChar w:fldCharType="end"/>
            </w:r>
          </w:hyperlink>
        </w:p>
        <w:p w14:paraId="77DB3285" w14:textId="77005048"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0" w:history="1">
            <w:r w:rsidRPr="00E248EF">
              <w:rPr>
                <w:rStyle w:val="Collegamentoipertestuale"/>
                <w:rFonts w:cs="Tahoma"/>
                <w:noProof/>
              </w:rPr>
              <w:t>3.16.8 Flusso unico e procedura di invio</w:t>
            </w:r>
            <w:r w:rsidRPr="00E248EF">
              <w:rPr>
                <w:noProof/>
                <w:webHidden/>
              </w:rPr>
              <w:tab/>
            </w:r>
            <w:r w:rsidRPr="00E248EF">
              <w:rPr>
                <w:noProof/>
                <w:webHidden/>
              </w:rPr>
              <w:fldChar w:fldCharType="begin"/>
            </w:r>
            <w:r w:rsidRPr="00E248EF">
              <w:rPr>
                <w:noProof/>
                <w:webHidden/>
              </w:rPr>
              <w:instrText xml:space="preserve"> PAGEREF _Toc124266260 \h </w:instrText>
            </w:r>
            <w:r w:rsidRPr="00E248EF">
              <w:rPr>
                <w:noProof/>
                <w:webHidden/>
              </w:rPr>
            </w:r>
            <w:r w:rsidRPr="00E248EF">
              <w:rPr>
                <w:noProof/>
                <w:webHidden/>
              </w:rPr>
              <w:fldChar w:fldCharType="separate"/>
            </w:r>
            <w:r w:rsidR="00C13356">
              <w:rPr>
                <w:noProof/>
                <w:webHidden/>
              </w:rPr>
              <w:t>61</w:t>
            </w:r>
            <w:r w:rsidRPr="00E248EF">
              <w:rPr>
                <w:noProof/>
                <w:webHidden/>
              </w:rPr>
              <w:fldChar w:fldCharType="end"/>
            </w:r>
          </w:hyperlink>
        </w:p>
        <w:p w14:paraId="16867708" w14:textId="5631DFEC"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261" w:history="1">
            <w:r w:rsidRPr="00E248EF">
              <w:rPr>
                <w:rStyle w:val="Collegamentoipertestuale"/>
                <w:rFonts w:cs="Tahoma"/>
                <w:noProof/>
              </w:rPr>
              <w:t>4.</w:t>
            </w:r>
          </w:hyperlink>
          <w:r w:rsidRPr="00E248EF">
            <w:rPr>
              <w:rFonts w:eastAsiaTheme="minorEastAsia"/>
              <w:b w:val="0"/>
              <w:noProof/>
              <w:lang w:eastAsia="it-IT"/>
            </w:rPr>
            <w:t xml:space="preserve"> </w:t>
          </w:r>
          <w:hyperlink w:anchor="_Toc124266262" w:history="1">
            <w:r w:rsidRPr="00E248EF">
              <w:rPr>
                <w:rStyle w:val="Collegamentoipertestuale"/>
                <w:rFonts w:cs="Tahoma"/>
                <w:noProof/>
              </w:rPr>
              <w:t>Prestazioni garantite dalla Gestione Separata</w:t>
            </w:r>
            <w:r w:rsidRPr="00E248EF">
              <w:rPr>
                <w:noProof/>
                <w:webHidden/>
              </w:rPr>
              <w:tab/>
            </w:r>
            <w:r w:rsidRPr="00E248EF">
              <w:rPr>
                <w:noProof/>
                <w:webHidden/>
              </w:rPr>
              <w:fldChar w:fldCharType="begin"/>
            </w:r>
            <w:r w:rsidRPr="00E248EF">
              <w:rPr>
                <w:noProof/>
                <w:webHidden/>
              </w:rPr>
              <w:instrText xml:space="preserve"> PAGEREF _Toc124266262 \h </w:instrText>
            </w:r>
            <w:r w:rsidRPr="00E248EF">
              <w:rPr>
                <w:noProof/>
                <w:webHidden/>
              </w:rPr>
            </w:r>
            <w:r w:rsidRPr="00E248EF">
              <w:rPr>
                <w:noProof/>
                <w:webHidden/>
              </w:rPr>
              <w:fldChar w:fldCharType="separate"/>
            </w:r>
            <w:r w:rsidR="00C13356">
              <w:rPr>
                <w:noProof/>
                <w:webHidden/>
              </w:rPr>
              <w:t>62</w:t>
            </w:r>
            <w:r w:rsidRPr="00E248EF">
              <w:rPr>
                <w:noProof/>
                <w:webHidden/>
              </w:rPr>
              <w:fldChar w:fldCharType="end"/>
            </w:r>
          </w:hyperlink>
        </w:p>
        <w:p w14:paraId="3F912D4C" w14:textId="05427811"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63" w:history="1">
            <w:r w:rsidRPr="00E248EF">
              <w:rPr>
                <w:rStyle w:val="Collegamentoipertestuale"/>
                <w:rFonts w:cs="Tahoma"/>
                <w:noProof/>
                <w:szCs w:val="20"/>
              </w:rPr>
              <w:t>4.1 Indennità di malattia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_Toc124266263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62</w:t>
            </w:r>
            <w:r w:rsidRPr="00E248EF">
              <w:rPr>
                <w:rFonts w:cs="Tahoma"/>
                <w:noProof/>
                <w:webHidden/>
                <w:szCs w:val="20"/>
              </w:rPr>
              <w:fldChar w:fldCharType="end"/>
            </w:r>
          </w:hyperlink>
        </w:p>
        <w:p w14:paraId="3F8389B6" w14:textId="6FF4464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4" w:history="1">
            <w:r w:rsidRPr="00E248EF">
              <w:rPr>
                <w:rStyle w:val="Collegamentoipertestuale"/>
                <w:rFonts w:cs="Tahoma"/>
                <w:noProof/>
              </w:rPr>
              <w:t>4.1.1 Requisiti</w:t>
            </w:r>
            <w:r w:rsidRPr="00E248EF">
              <w:rPr>
                <w:noProof/>
                <w:webHidden/>
              </w:rPr>
              <w:tab/>
            </w:r>
            <w:r w:rsidRPr="00E248EF">
              <w:rPr>
                <w:noProof/>
                <w:webHidden/>
              </w:rPr>
              <w:fldChar w:fldCharType="begin"/>
            </w:r>
            <w:r w:rsidRPr="00E248EF">
              <w:rPr>
                <w:noProof/>
                <w:webHidden/>
              </w:rPr>
              <w:instrText xml:space="preserve"> PAGEREF _Toc124266264 \h </w:instrText>
            </w:r>
            <w:r w:rsidRPr="00E248EF">
              <w:rPr>
                <w:noProof/>
                <w:webHidden/>
              </w:rPr>
            </w:r>
            <w:r w:rsidRPr="00E248EF">
              <w:rPr>
                <w:noProof/>
                <w:webHidden/>
              </w:rPr>
              <w:fldChar w:fldCharType="separate"/>
            </w:r>
            <w:r w:rsidR="00C13356">
              <w:rPr>
                <w:noProof/>
                <w:webHidden/>
              </w:rPr>
              <w:t>63</w:t>
            </w:r>
            <w:r w:rsidRPr="00E248EF">
              <w:rPr>
                <w:noProof/>
                <w:webHidden/>
              </w:rPr>
              <w:fldChar w:fldCharType="end"/>
            </w:r>
          </w:hyperlink>
        </w:p>
        <w:p w14:paraId="3446E170" w14:textId="68808E7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5" w:history="1">
            <w:r w:rsidRPr="00E248EF">
              <w:rPr>
                <w:rStyle w:val="Collegamentoipertestuale"/>
                <w:rFonts w:cs="Tahoma"/>
                <w:noProof/>
              </w:rPr>
              <w:t>4.1.2 Limiti di durata</w:t>
            </w:r>
            <w:r w:rsidRPr="00E248EF">
              <w:rPr>
                <w:noProof/>
                <w:webHidden/>
              </w:rPr>
              <w:tab/>
            </w:r>
            <w:r w:rsidRPr="00E248EF">
              <w:rPr>
                <w:noProof/>
                <w:webHidden/>
              </w:rPr>
              <w:fldChar w:fldCharType="begin"/>
            </w:r>
            <w:r w:rsidRPr="00E248EF">
              <w:rPr>
                <w:noProof/>
                <w:webHidden/>
              </w:rPr>
              <w:instrText xml:space="preserve"> PAGEREF _Toc124266265 \h </w:instrText>
            </w:r>
            <w:r w:rsidRPr="00E248EF">
              <w:rPr>
                <w:noProof/>
                <w:webHidden/>
              </w:rPr>
            </w:r>
            <w:r w:rsidRPr="00E248EF">
              <w:rPr>
                <w:noProof/>
                <w:webHidden/>
              </w:rPr>
              <w:fldChar w:fldCharType="separate"/>
            </w:r>
            <w:r w:rsidR="00C13356">
              <w:rPr>
                <w:noProof/>
                <w:webHidden/>
              </w:rPr>
              <w:t>63</w:t>
            </w:r>
            <w:r w:rsidRPr="00E248EF">
              <w:rPr>
                <w:noProof/>
                <w:webHidden/>
              </w:rPr>
              <w:fldChar w:fldCharType="end"/>
            </w:r>
          </w:hyperlink>
        </w:p>
        <w:p w14:paraId="1E4342C2" w14:textId="119D77F2"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6" w:history="1">
            <w:r w:rsidRPr="00E248EF">
              <w:rPr>
                <w:rStyle w:val="Collegamentoipertestuale"/>
                <w:rFonts w:cs="Tahoma"/>
                <w:noProof/>
              </w:rPr>
              <w:t>4.1.3 Giornate indennizzabili</w:t>
            </w:r>
            <w:r w:rsidRPr="00E248EF">
              <w:rPr>
                <w:noProof/>
                <w:webHidden/>
              </w:rPr>
              <w:tab/>
            </w:r>
            <w:r w:rsidRPr="00E248EF">
              <w:rPr>
                <w:noProof/>
                <w:webHidden/>
              </w:rPr>
              <w:fldChar w:fldCharType="begin"/>
            </w:r>
            <w:r w:rsidRPr="00E248EF">
              <w:rPr>
                <w:noProof/>
                <w:webHidden/>
              </w:rPr>
              <w:instrText xml:space="preserve"> PAGEREF _Toc124266266 \h </w:instrText>
            </w:r>
            <w:r w:rsidRPr="00E248EF">
              <w:rPr>
                <w:noProof/>
                <w:webHidden/>
              </w:rPr>
            </w:r>
            <w:r w:rsidRPr="00E248EF">
              <w:rPr>
                <w:noProof/>
                <w:webHidden/>
              </w:rPr>
              <w:fldChar w:fldCharType="separate"/>
            </w:r>
            <w:r w:rsidR="00C13356">
              <w:rPr>
                <w:noProof/>
                <w:webHidden/>
              </w:rPr>
              <w:t>63</w:t>
            </w:r>
            <w:r w:rsidRPr="00E248EF">
              <w:rPr>
                <w:noProof/>
                <w:webHidden/>
              </w:rPr>
              <w:fldChar w:fldCharType="end"/>
            </w:r>
          </w:hyperlink>
        </w:p>
        <w:p w14:paraId="1564C161" w14:textId="1FD34F14"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7" w:history="1">
            <w:r w:rsidRPr="00E248EF">
              <w:rPr>
                <w:rStyle w:val="Collegamentoipertestuale"/>
                <w:rFonts w:cs="Tahoma"/>
                <w:noProof/>
              </w:rPr>
              <w:t>4.1.4 Misura</w:t>
            </w:r>
            <w:r w:rsidRPr="00E248EF">
              <w:rPr>
                <w:noProof/>
                <w:webHidden/>
              </w:rPr>
              <w:tab/>
            </w:r>
            <w:r w:rsidRPr="00E248EF">
              <w:rPr>
                <w:noProof/>
                <w:webHidden/>
              </w:rPr>
              <w:fldChar w:fldCharType="begin"/>
            </w:r>
            <w:r w:rsidRPr="00E248EF">
              <w:rPr>
                <w:noProof/>
                <w:webHidden/>
              </w:rPr>
              <w:instrText xml:space="preserve"> PAGEREF _Toc124266267 \h </w:instrText>
            </w:r>
            <w:r w:rsidRPr="00E248EF">
              <w:rPr>
                <w:noProof/>
                <w:webHidden/>
              </w:rPr>
            </w:r>
            <w:r w:rsidRPr="00E248EF">
              <w:rPr>
                <w:noProof/>
                <w:webHidden/>
              </w:rPr>
              <w:fldChar w:fldCharType="separate"/>
            </w:r>
            <w:r w:rsidR="00C13356">
              <w:rPr>
                <w:noProof/>
                <w:webHidden/>
              </w:rPr>
              <w:t>64</w:t>
            </w:r>
            <w:r w:rsidRPr="00E248EF">
              <w:rPr>
                <w:noProof/>
                <w:webHidden/>
              </w:rPr>
              <w:fldChar w:fldCharType="end"/>
            </w:r>
          </w:hyperlink>
        </w:p>
        <w:p w14:paraId="555B62DB" w14:textId="36D4F58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8" w:history="1">
            <w:r w:rsidRPr="00E248EF">
              <w:rPr>
                <w:rStyle w:val="Collegamentoipertestuale"/>
                <w:rFonts w:cs="Tahoma"/>
                <w:noProof/>
              </w:rPr>
              <w:t>4.1.5 Certificazione di malattia</w:t>
            </w:r>
            <w:r w:rsidRPr="00E248EF">
              <w:rPr>
                <w:noProof/>
                <w:webHidden/>
              </w:rPr>
              <w:tab/>
            </w:r>
            <w:r w:rsidRPr="00E248EF">
              <w:rPr>
                <w:noProof/>
                <w:webHidden/>
              </w:rPr>
              <w:fldChar w:fldCharType="begin"/>
            </w:r>
            <w:r w:rsidRPr="00E248EF">
              <w:rPr>
                <w:noProof/>
                <w:webHidden/>
              </w:rPr>
              <w:instrText xml:space="preserve"> PAGEREF _Toc124266268 \h </w:instrText>
            </w:r>
            <w:r w:rsidRPr="00E248EF">
              <w:rPr>
                <w:noProof/>
                <w:webHidden/>
              </w:rPr>
            </w:r>
            <w:r w:rsidRPr="00E248EF">
              <w:rPr>
                <w:noProof/>
                <w:webHidden/>
              </w:rPr>
              <w:fldChar w:fldCharType="separate"/>
            </w:r>
            <w:r w:rsidR="00C13356">
              <w:rPr>
                <w:noProof/>
                <w:webHidden/>
              </w:rPr>
              <w:t>64</w:t>
            </w:r>
            <w:r w:rsidRPr="00E248EF">
              <w:rPr>
                <w:noProof/>
                <w:webHidden/>
              </w:rPr>
              <w:fldChar w:fldCharType="end"/>
            </w:r>
          </w:hyperlink>
        </w:p>
        <w:p w14:paraId="2DEC4360" w14:textId="08F71421"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69" w:history="1">
            <w:r w:rsidRPr="00E248EF">
              <w:rPr>
                <w:rStyle w:val="Collegamentoipertestuale"/>
                <w:rFonts w:cs="Tahoma"/>
                <w:noProof/>
              </w:rPr>
              <w:t>4.1.6 Malattia all’estero</w:t>
            </w:r>
            <w:r w:rsidRPr="00E248EF">
              <w:rPr>
                <w:noProof/>
                <w:webHidden/>
              </w:rPr>
              <w:tab/>
            </w:r>
            <w:r w:rsidRPr="00E248EF">
              <w:rPr>
                <w:noProof/>
                <w:webHidden/>
              </w:rPr>
              <w:fldChar w:fldCharType="begin"/>
            </w:r>
            <w:r w:rsidRPr="00E248EF">
              <w:rPr>
                <w:noProof/>
                <w:webHidden/>
              </w:rPr>
              <w:instrText xml:space="preserve"> PAGEREF _Toc124266269 \h </w:instrText>
            </w:r>
            <w:r w:rsidRPr="00E248EF">
              <w:rPr>
                <w:noProof/>
                <w:webHidden/>
              </w:rPr>
            </w:r>
            <w:r w:rsidRPr="00E248EF">
              <w:rPr>
                <w:noProof/>
                <w:webHidden/>
              </w:rPr>
              <w:fldChar w:fldCharType="separate"/>
            </w:r>
            <w:r w:rsidR="00C13356">
              <w:rPr>
                <w:noProof/>
                <w:webHidden/>
              </w:rPr>
              <w:t>65</w:t>
            </w:r>
            <w:r w:rsidRPr="00E248EF">
              <w:rPr>
                <w:noProof/>
                <w:webHidden/>
              </w:rPr>
              <w:fldChar w:fldCharType="end"/>
            </w:r>
          </w:hyperlink>
        </w:p>
        <w:p w14:paraId="5BE18F38" w14:textId="71F5C74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0" w:history="1">
            <w:r w:rsidRPr="00E248EF">
              <w:rPr>
                <w:rStyle w:val="Collegamentoipertestuale"/>
                <w:rFonts w:cs="Tahoma"/>
                <w:noProof/>
              </w:rPr>
              <w:t>4.1.7 Domanda telematica</w:t>
            </w:r>
            <w:r w:rsidRPr="00E248EF">
              <w:rPr>
                <w:noProof/>
                <w:webHidden/>
              </w:rPr>
              <w:tab/>
            </w:r>
            <w:r w:rsidRPr="00E248EF">
              <w:rPr>
                <w:noProof/>
                <w:webHidden/>
              </w:rPr>
              <w:fldChar w:fldCharType="begin"/>
            </w:r>
            <w:r w:rsidRPr="00E248EF">
              <w:rPr>
                <w:noProof/>
                <w:webHidden/>
              </w:rPr>
              <w:instrText xml:space="preserve"> PAGEREF _Toc124266270 \h </w:instrText>
            </w:r>
            <w:r w:rsidRPr="00E248EF">
              <w:rPr>
                <w:noProof/>
                <w:webHidden/>
              </w:rPr>
            </w:r>
            <w:r w:rsidRPr="00E248EF">
              <w:rPr>
                <w:noProof/>
                <w:webHidden/>
              </w:rPr>
              <w:fldChar w:fldCharType="separate"/>
            </w:r>
            <w:r w:rsidR="00C13356">
              <w:rPr>
                <w:noProof/>
                <w:webHidden/>
              </w:rPr>
              <w:t>65</w:t>
            </w:r>
            <w:r w:rsidRPr="00E248EF">
              <w:rPr>
                <w:noProof/>
                <w:webHidden/>
              </w:rPr>
              <w:fldChar w:fldCharType="end"/>
            </w:r>
          </w:hyperlink>
        </w:p>
        <w:p w14:paraId="77402CE9" w14:textId="7BFF6C4E"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1" w:history="1">
            <w:r w:rsidRPr="00E248EF">
              <w:rPr>
                <w:rStyle w:val="Collegamentoipertestuale"/>
                <w:rFonts w:cs="Tahoma"/>
                <w:noProof/>
              </w:rPr>
              <w:t>4.1.8 Reperibilità</w:t>
            </w:r>
            <w:r w:rsidRPr="00E248EF">
              <w:rPr>
                <w:noProof/>
                <w:webHidden/>
              </w:rPr>
              <w:tab/>
            </w:r>
            <w:r w:rsidRPr="00E248EF">
              <w:rPr>
                <w:noProof/>
                <w:webHidden/>
              </w:rPr>
              <w:fldChar w:fldCharType="begin"/>
            </w:r>
            <w:r w:rsidRPr="00E248EF">
              <w:rPr>
                <w:noProof/>
                <w:webHidden/>
              </w:rPr>
              <w:instrText xml:space="preserve"> PAGEREF _Toc124266271 \h </w:instrText>
            </w:r>
            <w:r w:rsidRPr="00E248EF">
              <w:rPr>
                <w:noProof/>
                <w:webHidden/>
              </w:rPr>
            </w:r>
            <w:r w:rsidRPr="00E248EF">
              <w:rPr>
                <w:noProof/>
                <w:webHidden/>
              </w:rPr>
              <w:fldChar w:fldCharType="separate"/>
            </w:r>
            <w:r w:rsidR="00C13356">
              <w:rPr>
                <w:noProof/>
                <w:webHidden/>
              </w:rPr>
              <w:t>66</w:t>
            </w:r>
            <w:r w:rsidRPr="00E248EF">
              <w:rPr>
                <w:noProof/>
                <w:webHidden/>
              </w:rPr>
              <w:fldChar w:fldCharType="end"/>
            </w:r>
          </w:hyperlink>
        </w:p>
        <w:p w14:paraId="7407D11D" w14:textId="1D8752A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2" w:history="1">
            <w:r w:rsidRPr="00E248EF">
              <w:rPr>
                <w:rStyle w:val="Collegamentoipertestuale"/>
                <w:rFonts w:cs="Tahoma"/>
                <w:noProof/>
              </w:rPr>
              <w:t>4.1.9 Indirizzo di reperibilità</w:t>
            </w:r>
            <w:r w:rsidRPr="00E248EF">
              <w:rPr>
                <w:noProof/>
                <w:webHidden/>
              </w:rPr>
              <w:tab/>
            </w:r>
            <w:r w:rsidRPr="00E248EF">
              <w:rPr>
                <w:noProof/>
                <w:webHidden/>
              </w:rPr>
              <w:fldChar w:fldCharType="begin"/>
            </w:r>
            <w:r w:rsidRPr="00E248EF">
              <w:rPr>
                <w:noProof/>
                <w:webHidden/>
              </w:rPr>
              <w:instrText xml:space="preserve"> PAGEREF _Toc124266272 \h </w:instrText>
            </w:r>
            <w:r w:rsidRPr="00E248EF">
              <w:rPr>
                <w:noProof/>
                <w:webHidden/>
              </w:rPr>
            </w:r>
            <w:r w:rsidRPr="00E248EF">
              <w:rPr>
                <w:noProof/>
                <w:webHidden/>
              </w:rPr>
              <w:fldChar w:fldCharType="separate"/>
            </w:r>
            <w:r w:rsidR="00C13356">
              <w:rPr>
                <w:noProof/>
                <w:webHidden/>
              </w:rPr>
              <w:t>66</w:t>
            </w:r>
            <w:r w:rsidRPr="00E248EF">
              <w:rPr>
                <w:noProof/>
                <w:webHidden/>
              </w:rPr>
              <w:fldChar w:fldCharType="end"/>
            </w:r>
          </w:hyperlink>
        </w:p>
        <w:p w14:paraId="6AEE4A15" w14:textId="4B1CF08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3" w:history="1">
            <w:r w:rsidRPr="00E248EF">
              <w:rPr>
                <w:rStyle w:val="Collegamentoipertestuale"/>
                <w:rFonts w:cs="Tahoma"/>
                <w:noProof/>
              </w:rPr>
              <w:t>4.1.10 Assenze alle visite di controllo</w:t>
            </w:r>
            <w:r w:rsidRPr="00E248EF">
              <w:rPr>
                <w:noProof/>
                <w:webHidden/>
              </w:rPr>
              <w:tab/>
            </w:r>
            <w:r w:rsidRPr="00E248EF">
              <w:rPr>
                <w:noProof/>
                <w:webHidden/>
              </w:rPr>
              <w:fldChar w:fldCharType="begin"/>
            </w:r>
            <w:r w:rsidRPr="00E248EF">
              <w:rPr>
                <w:noProof/>
                <w:webHidden/>
              </w:rPr>
              <w:instrText xml:space="preserve"> PAGEREF _Toc124266273 \h </w:instrText>
            </w:r>
            <w:r w:rsidRPr="00E248EF">
              <w:rPr>
                <w:noProof/>
                <w:webHidden/>
              </w:rPr>
            </w:r>
            <w:r w:rsidRPr="00E248EF">
              <w:rPr>
                <w:noProof/>
                <w:webHidden/>
              </w:rPr>
              <w:fldChar w:fldCharType="separate"/>
            </w:r>
            <w:r w:rsidR="00C13356">
              <w:rPr>
                <w:noProof/>
                <w:webHidden/>
              </w:rPr>
              <w:t>67</w:t>
            </w:r>
            <w:r w:rsidRPr="00E248EF">
              <w:rPr>
                <w:noProof/>
                <w:webHidden/>
              </w:rPr>
              <w:fldChar w:fldCharType="end"/>
            </w:r>
          </w:hyperlink>
        </w:p>
        <w:p w14:paraId="529CEDE8" w14:textId="1CB0007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4" w:history="1">
            <w:r w:rsidRPr="00E248EF">
              <w:rPr>
                <w:rStyle w:val="Collegamentoipertestuale"/>
                <w:rFonts w:cs="Tahoma"/>
                <w:noProof/>
              </w:rPr>
              <w:t>4.1.11 Assenze giustificate</w:t>
            </w:r>
            <w:r w:rsidRPr="00E248EF">
              <w:rPr>
                <w:noProof/>
                <w:webHidden/>
              </w:rPr>
              <w:tab/>
            </w:r>
            <w:r w:rsidRPr="00E248EF">
              <w:rPr>
                <w:noProof/>
                <w:webHidden/>
              </w:rPr>
              <w:fldChar w:fldCharType="begin"/>
            </w:r>
            <w:r w:rsidRPr="00E248EF">
              <w:rPr>
                <w:noProof/>
                <w:webHidden/>
              </w:rPr>
              <w:instrText xml:space="preserve"> PAGEREF _Toc124266274 \h </w:instrText>
            </w:r>
            <w:r w:rsidRPr="00E248EF">
              <w:rPr>
                <w:noProof/>
                <w:webHidden/>
              </w:rPr>
            </w:r>
            <w:r w:rsidRPr="00E248EF">
              <w:rPr>
                <w:noProof/>
                <w:webHidden/>
              </w:rPr>
              <w:fldChar w:fldCharType="separate"/>
            </w:r>
            <w:r w:rsidR="00C13356">
              <w:rPr>
                <w:noProof/>
                <w:webHidden/>
              </w:rPr>
              <w:t>68</w:t>
            </w:r>
            <w:r w:rsidRPr="00E248EF">
              <w:rPr>
                <w:noProof/>
                <w:webHidden/>
              </w:rPr>
              <w:fldChar w:fldCharType="end"/>
            </w:r>
          </w:hyperlink>
        </w:p>
        <w:p w14:paraId="695FB4DF" w14:textId="7ECE589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5" w:history="1">
            <w:r w:rsidRPr="00E248EF">
              <w:rPr>
                <w:rStyle w:val="Collegamentoipertestuale"/>
                <w:rFonts w:cs="Tahoma"/>
                <w:noProof/>
              </w:rPr>
              <w:t>4.1.12 Competenza esclusiva INPS</w:t>
            </w:r>
            <w:r w:rsidRPr="00E248EF">
              <w:rPr>
                <w:noProof/>
                <w:webHidden/>
              </w:rPr>
              <w:tab/>
            </w:r>
            <w:r w:rsidRPr="00E248EF">
              <w:rPr>
                <w:noProof/>
                <w:webHidden/>
              </w:rPr>
              <w:fldChar w:fldCharType="begin"/>
            </w:r>
            <w:r w:rsidRPr="00E248EF">
              <w:rPr>
                <w:noProof/>
                <w:webHidden/>
              </w:rPr>
              <w:instrText xml:space="preserve"> PAGEREF _Toc124266275 \h </w:instrText>
            </w:r>
            <w:r w:rsidRPr="00E248EF">
              <w:rPr>
                <w:noProof/>
                <w:webHidden/>
              </w:rPr>
            </w:r>
            <w:r w:rsidRPr="00E248EF">
              <w:rPr>
                <w:noProof/>
                <w:webHidden/>
              </w:rPr>
              <w:fldChar w:fldCharType="separate"/>
            </w:r>
            <w:r w:rsidR="00C13356">
              <w:rPr>
                <w:noProof/>
                <w:webHidden/>
              </w:rPr>
              <w:t>68</w:t>
            </w:r>
            <w:r w:rsidRPr="00E248EF">
              <w:rPr>
                <w:noProof/>
                <w:webHidden/>
              </w:rPr>
              <w:fldChar w:fldCharType="end"/>
            </w:r>
          </w:hyperlink>
        </w:p>
        <w:p w14:paraId="17AAB5D1" w14:textId="725A592A"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6" w:history="1">
            <w:r w:rsidRPr="00E248EF">
              <w:rPr>
                <w:rStyle w:val="Collegamentoipertestuale"/>
                <w:rFonts w:cs="Tahoma"/>
                <w:noProof/>
              </w:rPr>
              <w:t>4.1.13 Contrasto tra certificati</w:t>
            </w:r>
            <w:r w:rsidRPr="00E248EF">
              <w:rPr>
                <w:noProof/>
                <w:webHidden/>
              </w:rPr>
              <w:tab/>
            </w:r>
            <w:r w:rsidRPr="00E248EF">
              <w:rPr>
                <w:noProof/>
                <w:webHidden/>
              </w:rPr>
              <w:fldChar w:fldCharType="begin"/>
            </w:r>
            <w:r w:rsidRPr="00E248EF">
              <w:rPr>
                <w:noProof/>
                <w:webHidden/>
              </w:rPr>
              <w:instrText xml:space="preserve"> PAGEREF _Toc124266276 \h </w:instrText>
            </w:r>
            <w:r w:rsidRPr="00E248EF">
              <w:rPr>
                <w:noProof/>
                <w:webHidden/>
              </w:rPr>
            </w:r>
            <w:r w:rsidRPr="00E248EF">
              <w:rPr>
                <w:noProof/>
                <w:webHidden/>
              </w:rPr>
              <w:fldChar w:fldCharType="separate"/>
            </w:r>
            <w:r w:rsidR="00C13356">
              <w:rPr>
                <w:noProof/>
                <w:webHidden/>
              </w:rPr>
              <w:t>69</w:t>
            </w:r>
            <w:r w:rsidRPr="00E248EF">
              <w:rPr>
                <w:noProof/>
                <w:webHidden/>
              </w:rPr>
              <w:fldChar w:fldCharType="end"/>
            </w:r>
          </w:hyperlink>
        </w:p>
        <w:p w14:paraId="0B0DCE7F" w14:textId="2E5E2947"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77" w:history="1">
            <w:r w:rsidRPr="00E248EF">
              <w:rPr>
                <w:rStyle w:val="Collegamentoipertestuale"/>
                <w:rFonts w:cs="Tahoma"/>
                <w:noProof/>
                <w:szCs w:val="20"/>
              </w:rPr>
              <w:t>4.2 Degenza ospedaliera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_Toc124266277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69</w:t>
            </w:r>
            <w:r w:rsidRPr="00E248EF">
              <w:rPr>
                <w:rFonts w:cs="Tahoma"/>
                <w:noProof/>
                <w:webHidden/>
                <w:szCs w:val="20"/>
              </w:rPr>
              <w:fldChar w:fldCharType="end"/>
            </w:r>
          </w:hyperlink>
        </w:p>
        <w:p w14:paraId="2BB7A120" w14:textId="716EDE08"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8" w:history="1">
            <w:r w:rsidRPr="00E248EF">
              <w:rPr>
                <w:rStyle w:val="Collegamentoipertestuale"/>
                <w:rFonts w:cs="Tahoma"/>
                <w:noProof/>
              </w:rPr>
              <w:t>4.2.1 Requisiti</w:t>
            </w:r>
            <w:r w:rsidRPr="00E248EF">
              <w:rPr>
                <w:noProof/>
                <w:webHidden/>
              </w:rPr>
              <w:tab/>
            </w:r>
            <w:r w:rsidRPr="00E248EF">
              <w:rPr>
                <w:noProof/>
                <w:webHidden/>
              </w:rPr>
              <w:fldChar w:fldCharType="begin"/>
            </w:r>
            <w:r w:rsidRPr="00E248EF">
              <w:rPr>
                <w:noProof/>
                <w:webHidden/>
              </w:rPr>
              <w:instrText xml:space="preserve"> PAGEREF _Toc124266278 \h </w:instrText>
            </w:r>
            <w:r w:rsidRPr="00E248EF">
              <w:rPr>
                <w:noProof/>
                <w:webHidden/>
              </w:rPr>
            </w:r>
            <w:r w:rsidRPr="00E248EF">
              <w:rPr>
                <w:noProof/>
                <w:webHidden/>
              </w:rPr>
              <w:fldChar w:fldCharType="separate"/>
            </w:r>
            <w:r w:rsidR="00C13356">
              <w:rPr>
                <w:noProof/>
                <w:webHidden/>
              </w:rPr>
              <w:t>70</w:t>
            </w:r>
            <w:r w:rsidRPr="00E248EF">
              <w:rPr>
                <w:noProof/>
                <w:webHidden/>
              </w:rPr>
              <w:fldChar w:fldCharType="end"/>
            </w:r>
          </w:hyperlink>
        </w:p>
        <w:p w14:paraId="3EAD0AF0" w14:textId="1428B6A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79" w:history="1">
            <w:r w:rsidRPr="00E248EF">
              <w:rPr>
                <w:rStyle w:val="Collegamentoipertestuale"/>
                <w:rFonts w:cs="Tahoma"/>
                <w:noProof/>
              </w:rPr>
              <w:t>4.2.2 Durata e importo</w:t>
            </w:r>
            <w:r w:rsidRPr="00E248EF">
              <w:rPr>
                <w:noProof/>
                <w:webHidden/>
              </w:rPr>
              <w:tab/>
            </w:r>
            <w:r w:rsidRPr="00E248EF">
              <w:rPr>
                <w:noProof/>
                <w:webHidden/>
              </w:rPr>
              <w:fldChar w:fldCharType="begin"/>
            </w:r>
            <w:r w:rsidRPr="00E248EF">
              <w:rPr>
                <w:noProof/>
                <w:webHidden/>
              </w:rPr>
              <w:instrText xml:space="preserve"> PAGEREF _Toc124266279 \h </w:instrText>
            </w:r>
            <w:r w:rsidRPr="00E248EF">
              <w:rPr>
                <w:noProof/>
                <w:webHidden/>
              </w:rPr>
            </w:r>
            <w:r w:rsidRPr="00E248EF">
              <w:rPr>
                <w:noProof/>
                <w:webHidden/>
              </w:rPr>
              <w:fldChar w:fldCharType="separate"/>
            </w:r>
            <w:r w:rsidR="00C13356">
              <w:rPr>
                <w:noProof/>
                <w:webHidden/>
              </w:rPr>
              <w:t>70</w:t>
            </w:r>
            <w:r w:rsidRPr="00E248EF">
              <w:rPr>
                <w:noProof/>
                <w:webHidden/>
              </w:rPr>
              <w:fldChar w:fldCharType="end"/>
            </w:r>
          </w:hyperlink>
        </w:p>
        <w:p w14:paraId="0F896984" w14:textId="5401B46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0" w:history="1">
            <w:r w:rsidRPr="00E248EF">
              <w:rPr>
                <w:rStyle w:val="Collegamentoipertestuale"/>
                <w:rFonts w:cs="Tahoma"/>
                <w:noProof/>
              </w:rPr>
              <w:t>4.2.3 Domanda</w:t>
            </w:r>
            <w:r w:rsidRPr="00E248EF">
              <w:rPr>
                <w:noProof/>
                <w:webHidden/>
              </w:rPr>
              <w:tab/>
            </w:r>
            <w:r w:rsidRPr="00E248EF">
              <w:rPr>
                <w:noProof/>
                <w:webHidden/>
              </w:rPr>
              <w:fldChar w:fldCharType="begin"/>
            </w:r>
            <w:r w:rsidRPr="00E248EF">
              <w:rPr>
                <w:noProof/>
                <w:webHidden/>
              </w:rPr>
              <w:instrText xml:space="preserve"> PAGEREF _Toc124266280 \h </w:instrText>
            </w:r>
            <w:r w:rsidRPr="00E248EF">
              <w:rPr>
                <w:noProof/>
                <w:webHidden/>
              </w:rPr>
            </w:r>
            <w:r w:rsidRPr="00E248EF">
              <w:rPr>
                <w:noProof/>
                <w:webHidden/>
              </w:rPr>
              <w:fldChar w:fldCharType="separate"/>
            </w:r>
            <w:r w:rsidR="00C13356">
              <w:rPr>
                <w:noProof/>
                <w:webHidden/>
              </w:rPr>
              <w:t>71</w:t>
            </w:r>
            <w:r w:rsidRPr="00E248EF">
              <w:rPr>
                <w:noProof/>
                <w:webHidden/>
              </w:rPr>
              <w:fldChar w:fldCharType="end"/>
            </w:r>
          </w:hyperlink>
        </w:p>
        <w:p w14:paraId="25A195A4" w14:textId="29091EB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1" w:history="1">
            <w:r w:rsidRPr="00E248EF">
              <w:rPr>
                <w:rStyle w:val="Collegamentoipertestuale"/>
                <w:rFonts w:cs="Tahoma"/>
                <w:noProof/>
              </w:rPr>
              <w:t>4.2.4 Contributi figurativi</w:t>
            </w:r>
            <w:r w:rsidRPr="00E248EF">
              <w:rPr>
                <w:noProof/>
                <w:webHidden/>
              </w:rPr>
              <w:tab/>
            </w:r>
            <w:r w:rsidRPr="00E248EF">
              <w:rPr>
                <w:noProof/>
                <w:webHidden/>
              </w:rPr>
              <w:fldChar w:fldCharType="begin"/>
            </w:r>
            <w:r w:rsidRPr="00E248EF">
              <w:rPr>
                <w:noProof/>
                <w:webHidden/>
              </w:rPr>
              <w:instrText xml:space="preserve"> PAGEREF _Toc124266281 \h </w:instrText>
            </w:r>
            <w:r w:rsidRPr="00E248EF">
              <w:rPr>
                <w:noProof/>
                <w:webHidden/>
              </w:rPr>
            </w:r>
            <w:r w:rsidRPr="00E248EF">
              <w:rPr>
                <w:noProof/>
                <w:webHidden/>
              </w:rPr>
              <w:fldChar w:fldCharType="separate"/>
            </w:r>
            <w:r w:rsidR="00C13356">
              <w:rPr>
                <w:noProof/>
                <w:webHidden/>
              </w:rPr>
              <w:t>71</w:t>
            </w:r>
            <w:r w:rsidRPr="00E248EF">
              <w:rPr>
                <w:noProof/>
                <w:webHidden/>
              </w:rPr>
              <w:fldChar w:fldCharType="end"/>
            </w:r>
          </w:hyperlink>
        </w:p>
        <w:p w14:paraId="42F68041" w14:textId="1C3554C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82" w:history="1">
            <w:r w:rsidRPr="00E248EF">
              <w:rPr>
                <w:rStyle w:val="Collegamentoipertestuale"/>
                <w:rFonts w:cs="Tahoma"/>
                <w:noProof/>
                <w:szCs w:val="20"/>
              </w:rPr>
              <w:t>4.3 Indennità di maternità</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_Toc124266282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71</w:t>
            </w:r>
            <w:r w:rsidRPr="00E248EF">
              <w:rPr>
                <w:rFonts w:cs="Tahoma"/>
                <w:noProof/>
                <w:webHidden/>
                <w:szCs w:val="20"/>
              </w:rPr>
              <w:fldChar w:fldCharType="end"/>
            </w:r>
          </w:hyperlink>
        </w:p>
        <w:p w14:paraId="05A328FD" w14:textId="52166AB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3" w:history="1">
            <w:r w:rsidRPr="00E248EF">
              <w:rPr>
                <w:rStyle w:val="Collegamentoipertestuale"/>
                <w:rFonts w:cs="Tahoma"/>
                <w:noProof/>
              </w:rPr>
              <w:t>4.3.1 Casi particolari</w:t>
            </w:r>
            <w:r w:rsidRPr="00E248EF">
              <w:rPr>
                <w:noProof/>
                <w:webHidden/>
              </w:rPr>
              <w:tab/>
            </w:r>
            <w:r w:rsidRPr="00E248EF">
              <w:rPr>
                <w:noProof/>
                <w:webHidden/>
              </w:rPr>
              <w:fldChar w:fldCharType="begin"/>
            </w:r>
            <w:r w:rsidRPr="00E248EF">
              <w:rPr>
                <w:noProof/>
                <w:webHidden/>
              </w:rPr>
              <w:instrText xml:space="preserve"> PAGEREF _Toc124266283 \h </w:instrText>
            </w:r>
            <w:r w:rsidRPr="00E248EF">
              <w:rPr>
                <w:noProof/>
                <w:webHidden/>
              </w:rPr>
            </w:r>
            <w:r w:rsidRPr="00E248EF">
              <w:rPr>
                <w:noProof/>
                <w:webHidden/>
              </w:rPr>
              <w:fldChar w:fldCharType="separate"/>
            </w:r>
            <w:r w:rsidR="00C13356">
              <w:rPr>
                <w:noProof/>
                <w:webHidden/>
              </w:rPr>
              <w:t>72</w:t>
            </w:r>
            <w:r w:rsidRPr="00E248EF">
              <w:rPr>
                <w:noProof/>
                <w:webHidden/>
              </w:rPr>
              <w:fldChar w:fldCharType="end"/>
            </w:r>
          </w:hyperlink>
        </w:p>
        <w:p w14:paraId="5F68308C" w14:textId="7E37FF5A"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4" w:history="1">
            <w:r w:rsidRPr="00E248EF">
              <w:rPr>
                <w:rStyle w:val="Collegamentoipertestuale"/>
                <w:rFonts w:cs="Tahoma"/>
                <w:noProof/>
              </w:rPr>
              <w:t>4.3.2 Adozione o affidamento</w:t>
            </w:r>
            <w:r w:rsidRPr="00E248EF">
              <w:rPr>
                <w:noProof/>
                <w:webHidden/>
              </w:rPr>
              <w:tab/>
            </w:r>
            <w:r w:rsidRPr="00E248EF">
              <w:rPr>
                <w:noProof/>
                <w:webHidden/>
              </w:rPr>
              <w:fldChar w:fldCharType="begin"/>
            </w:r>
            <w:r w:rsidRPr="00E248EF">
              <w:rPr>
                <w:noProof/>
                <w:webHidden/>
              </w:rPr>
              <w:instrText xml:space="preserve"> PAGEREF _Toc124266284 \h </w:instrText>
            </w:r>
            <w:r w:rsidRPr="00E248EF">
              <w:rPr>
                <w:noProof/>
                <w:webHidden/>
              </w:rPr>
            </w:r>
            <w:r w:rsidRPr="00E248EF">
              <w:rPr>
                <w:noProof/>
                <w:webHidden/>
              </w:rPr>
              <w:fldChar w:fldCharType="separate"/>
            </w:r>
            <w:r w:rsidR="00C13356">
              <w:rPr>
                <w:noProof/>
                <w:webHidden/>
              </w:rPr>
              <w:t>72</w:t>
            </w:r>
            <w:r w:rsidRPr="00E248EF">
              <w:rPr>
                <w:noProof/>
                <w:webHidden/>
              </w:rPr>
              <w:fldChar w:fldCharType="end"/>
            </w:r>
          </w:hyperlink>
        </w:p>
        <w:p w14:paraId="3B1B655E" w14:textId="13DB1308"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5" w:history="1">
            <w:r w:rsidRPr="00E248EF">
              <w:rPr>
                <w:rStyle w:val="Collegamentoipertestuale"/>
                <w:rFonts w:cs="Tahoma"/>
                <w:noProof/>
              </w:rPr>
              <w:t>4.3.3 Padre</w:t>
            </w:r>
            <w:r w:rsidRPr="00E248EF">
              <w:rPr>
                <w:noProof/>
                <w:webHidden/>
              </w:rPr>
              <w:tab/>
            </w:r>
            <w:r w:rsidRPr="00E248EF">
              <w:rPr>
                <w:noProof/>
                <w:webHidden/>
              </w:rPr>
              <w:fldChar w:fldCharType="begin"/>
            </w:r>
            <w:r w:rsidRPr="00E248EF">
              <w:rPr>
                <w:noProof/>
                <w:webHidden/>
              </w:rPr>
              <w:instrText xml:space="preserve"> PAGEREF _Toc124266285 \h </w:instrText>
            </w:r>
            <w:r w:rsidRPr="00E248EF">
              <w:rPr>
                <w:noProof/>
                <w:webHidden/>
              </w:rPr>
            </w:r>
            <w:r w:rsidRPr="00E248EF">
              <w:rPr>
                <w:noProof/>
                <w:webHidden/>
              </w:rPr>
              <w:fldChar w:fldCharType="separate"/>
            </w:r>
            <w:r w:rsidR="00C13356">
              <w:rPr>
                <w:noProof/>
                <w:webHidden/>
              </w:rPr>
              <w:t>72</w:t>
            </w:r>
            <w:r w:rsidRPr="00E248EF">
              <w:rPr>
                <w:noProof/>
                <w:webHidden/>
              </w:rPr>
              <w:fldChar w:fldCharType="end"/>
            </w:r>
          </w:hyperlink>
        </w:p>
        <w:p w14:paraId="250CA051" w14:textId="7EEDAA7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6" w:history="1">
            <w:r w:rsidRPr="00E248EF">
              <w:rPr>
                <w:rStyle w:val="Collegamentoipertestuale"/>
                <w:rFonts w:cs="Tahoma"/>
                <w:noProof/>
              </w:rPr>
              <w:t>4.3.4 Requisiti</w:t>
            </w:r>
            <w:r w:rsidRPr="00E248EF">
              <w:rPr>
                <w:noProof/>
                <w:webHidden/>
              </w:rPr>
              <w:tab/>
            </w:r>
            <w:r w:rsidRPr="00E248EF">
              <w:rPr>
                <w:noProof/>
                <w:webHidden/>
              </w:rPr>
              <w:fldChar w:fldCharType="begin"/>
            </w:r>
            <w:r w:rsidRPr="00E248EF">
              <w:rPr>
                <w:noProof/>
                <w:webHidden/>
              </w:rPr>
              <w:instrText xml:space="preserve"> PAGEREF _Toc124266286 \h </w:instrText>
            </w:r>
            <w:r w:rsidRPr="00E248EF">
              <w:rPr>
                <w:noProof/>
                <w:webHidden/>
              </w:rPr>
            </w:r>
            <w:r w:rsidRPr="00E248EF">
              <w:rPr>
                <w:noProof/>
                <w:webHidden/>
              </w:rPr>
              <w:fldChar w:fldCharType="separate"/>
            </w:r>
            <w:r w:rsidR="00C13356">
              <w:rPr>
                <w:noProof/>
                <w:webHidden/>
              </w:rPr>
              <w:t>73</w:t>
            </w:r>
            <w:r w:rsidRPr="00E248EF">
              <w:rPr>
                <w:noProof/>
                <w:webHidden/>
              </w:rPr>
              <w:fldChar w:fldCharType="end"/>
            </w:r>
          </w:hyperlink>
        </w:p>
        <w:p w14:paraId="706EFCBE" w14:textId="5271A52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7" w:history="1">
            <w:r w:rsidRPr="00E248EF">
              <w:rPr>
                <w:rStyle w:val="Collegamentoipertestuale"/>
                <w:rFonts w:cs="Tahoma"/>
                <w:noProof/>
              </w:rPr>
              <w:t>4.3.5 Domanda</w:t>
            </w:r>
            <w:r w:rsidRPr="00E248EF">
              <w:rPr>
                <w:noProof/>
                <w:webHidden/>
              </w:rPr>
              <w:tab/>
            </w:r>
            <w:r w:rsidRPr="00E248EF">
              <w:rPr>
                <w:noProof/>
                <w:webHidden/>
              </w:rPr>
              <w:fldChar w:fldCharType="begin"/>
            </w:r>
            <w:r w:rsidRPr="00E248EF">
              <w:rPr>
                <w:noProof/>
                <w:webHidden/>
              </w:rPr>
              <w:instrText xml:space="preserve"> PAGEREF _Toc124266287 \h </w:instrText>
            </w:r>
            <w:r w:rsidRPr="00E248EF">
              <w:rPr>
                <w:noProof/>
                <w:webHidden/>
              </w:rPr>
            </w:r>
            <w:r w:rsidRPr="00E248EF">
              <w:rPr>
                <w:noProof/>
                <w:webHidden/>
              </w:rPr>
              <w:fldChar w:fldCharType="separate"/>
            </w:r>
            <w:r w:rsidR="00C13356">
              <w:rPr>
                <w:noProof/>
                <w:webHidden/>
              </w:rPr>
              <w:t>73</w:t>
            </w:r>
            <w:r w:rsidRPr="00E248EF">
              <w:rPr>
                <w:noProof/>
                <w:webHidden/>
              </w:rPr>
              <w:fldChar w:fldCharType="end"/>
            </w:r>
          </w:hyperlink>
        </w:p>
        <w:p w14:paraId="6CE30380" w14:textId="0BEF454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8" w:history="1">
            <w:r w:rsidRPr="00E248EF">
              <w:rPr>
                <w:rStyle w:val="Collegamentoipertestuale"/>
                <w:rFonts w:cs="Tahoma"/>
                <w:noProof/>
              </w:rPr>
              <w:t>4.3.6 Scadenze</w:t>
            </w:r>
            <w:r w:rsidRPr="00E248EF">
              <w:rPr>
                <w:noProof/>
                <w:webHidden/>
              </w:rPr>
              <w:tab/>
            </w:r>
            <w:r w:rsidRPr="00E248EF">
              <w:rPr>
                <w:noProof/>
                <w:webHidden/>
              </w:rPr>
              <w:fldChar w:fldCharType="begin"/>
            </w:r>
            <w:r w:rsidRPr="00E248EF">
              <w:rPr>
                <w:noProof/>
                <w:webHidden/>
              </w:rPr>
              <w:instrText xml:space="preserve"> PAGEREF _Toc124266288 \h </w:instrText>
            </w:r>
            <w:r w:rsidRPr="00E248EF">
              <w:rPr>
                <w:noProof/>
                <w:webHidden/>
              </w:rPr>
            </w:r>
            <w:r w:rsidRPr="00E248EF">
              <w:rPr>
                <w:noProof/>
                <w:webHidden/>
              </w:rPr>
              <w:fldChar w:fldCharType="separate"/>
            </w:r>
            <w:r w:rsidR="00C13356">
              <w:rPr>
                <w:noProof/>
                <w:webHidden/>
              </w:rPr>
              <w:t>74</w:t>
            </w:r>
            <w:r w:rsidRPr="00E248EF">
              <w:rPr>
                <w:noProof/>
                <w:webHidden/>
              </w:rPr>
              <w:fldChar w:fldCharType="end"/>
            </w:r>
          </w:hyperlink>
        </w:p>
        <w:p w14:paraId="5C0A36B7" w14:textId="0BA5E501"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89" w:history="1">
            <w:r w:rsidRPr="00E248EF">
              <w:rPr>
                <w:rStyle w:val="Collegamentoipertestuale"/>
                <w:rFonts w:cs="Tahoma"/>
                <w:noProof/>
              </w:rPr>
              <w:t>4.3.7 Importo</w:t>
            </w:r>
            <w:r w:rsidRPr="00E248EF">
              <w:rPr>
                <w:noProof/>
                <w:webHidden/>
              </w:rPr>
              <w:tab/>
            </w:r>
            <w:r w:rsidRPr="00E248EF">
              <w:rPr>
                <w:noProof/>
                <w:webHidden/>
              </w:rPr>
              <w:fldChar w:fldCharType="begin"/>
            </w:r>
            <w:r w:rsidRPr="00E248EF">
              <w:rPr>
                <w:noProof/>
                <w:webHidden/>
              </w:rPr>
              <w:instrText xml:space="preserve"> PAGEREF _Toc124266289 \h </w:instrText>
            </w:r>
            <w:r w:rsidRPr="00E248EF">
              <w:rPr>
                <w:noProof/>
                <w:webHidden/>
              </w:rPr>
            </w:r>
            <w:r w:rsidRPr="00E248EF">
              <w:rPr>
                <w:noProof/>
                <w:webHidden/>
              </w:rPr>
              <w:fldChar w:fldCharType="separate"/>
            </w:r>
            <w:r w:rsidR="00C13356">
              <w:rPr>
                <w:noProof/>
                <w:webHidden/>
              </w:rPr>
              <w:t>74</w:t>
            </w:r>
            <w:r w:rsidRPr="00E248EF">
              <w:rPr>
                <w:noProof/>
                <w:webHidden/>
              </w:rPr>
              <w:fldChar w:fldCharType="end"/>
            </w:r>
          </w:hyperlink>
        </w:p>
        <w:p w14:paraId="0EE1F602" w14:textId="52FD992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0" w:history="1">
            <w:r w:rsidRPr="00E248EF">
              <w:rPr>
                <w:rStyle w:val="Collegamentoipertestuale"/>
                <w:rFonts w:cs="Tahoma"/>
                <w:noProof/>
              </w:rPr>
              <w:t>4.3.8 Differimento</w:t>
            </w:r>
            <w:r w:rsidRPr="00E248EF">
              <w:rPr>
                <w:noProof/>
                <w:webHidden/>
              </w:rPr>
              <w:tab/>
            </w:r>
            <w:r w:rsidRPr="00E248EF">
              <w:rPr>
                <w:noProof/>
                <w:webHidden/>
              </w:rPr>
              <w:fldChar w:fldCharType="begin"/>
            </w:r>
            <w:r w:rsidRPr="00E248EF">
              <w:rPr>
                <w:noProof/>
                <w:webHidden/>
              </w:rPr>
              <w:instrText xml:space="preserve"> PAGEREF _Toc124266290 \h </w:instrText>
            </w:r>
            <w:r w:rsidRPr="00E248EF">
              <w:rPr>
                <w:noProof/>
                <w:webHidden/>
              </w:rPr>
            </w:r>
            <w:r w:rsidRPr="00E248EF">
              <w:rPr>
                <w:noProof/>
                <w:webHidden/>
              </w:rPr>
              <w:fldChar w:fldCharType="separate"/>
            </w:r>
            <w:r w:rsidR="00C13356">
              <w:rPr>
                <w:noProof/>
                <w:webHidden/>
              </w:rPr>
              <w:t>74</w:t>
            </w:r>
            <w:r w:rsidRPr="00E248EF">
              <w:rPr>
                <w:noProof/>
                <w:webHidden/>
              </w:rPr>
              <w:fldChar w:fldCharType="end"/>
            </w:r>
          </w:hyperlink>
        </w:p>
        <w:p w14:paraId="0DA750F2" w14:textId="445846B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1" w:history="1">
            <w:r w:rsidRPr="00E248EF">
              <w:rPr>
                <w:rStyle w:val="Collegamentoipertestuale"/>
                <w:rFonts w:cs="Tahoma"/>
                <w:noProof/>
              </w:rPr>
              <w:t>4.3.9 Posticipo</w:t>
            </w:r>
            <w:r w:rsidRPr="00E248EF">
              <w:rPr>
                <w:noProof/>
                <w:webHidden/>
              </w:rPr>
              <w:tab/>
            </w:r>
            <w:r w:rsidRPr="00E248EF">
              <w:rPr>
                <w:noProof/>
                <w:webHidden/>
              </w:rPr>
              <w:fldChar w:fldCharType="begin"/>
            </w:r>
            <w:r w:rsidRPr="00E248EF">
              <w:rPr>
                <w:noProof/>
                <w:webHidden/>
              </w:rPr>
              <w:instrText xml:space="preserve"> PAGEREF _Toc124266291 \h </w:instrText>
            </w:r>
            <w:r w:rsidRPr="00E248EF">
              <w:rPr>
                <w:noProof/>
                <w:webHidden/>
              </w:rPr>
            </w:r>
            <w:r w:rsidRPr="00E248EF">
              <w:rPr>
                <w:noProof/>
                <w:webHidden/>
              </w:rPr>
              <w:fldChar w:fldCharType="separate"/>
            </w:r>
            <w:r w:rsidR="00C13356">
              <w:rPr>
                <w:noProof/>
                <w:webHidden/>
              </w:rPr>
              <w:t>75</w:t>
            </w:r>
            <w:r w:rsidRPr="00E248EF">
              <w:rPr>
                <w:noProof/>
                <w:webHidden/>
              </w:rPr>
              <w:fldChar w:fldCharType="end"/>
            </w:r>
          </w:hyperlink>
        </w:p>
        <w:p w14:paraId="66D8F973" w14:textId="25BF24F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2" w:history="1">
            <w:r w:rsidRPr="00E248EF">
              <w:rPr>
                <w:rStyle w:val="Collegamentoipertestuale"/>
                <w:rFonts w:cs="Tahoma"/>
                <w:noProof/>
              </w:rPr>
              <w:t>4.3.10 Interruzione della gravidanza</w:t>
            </w:r>
            <w:r w:rsidRPr="00E248EF">
              <w:rPr>
                <w:noProof/>
                <w:webHidden/>
              </w:rPr>
              <w:tab/>
            </w:r>
            <w:r w:rsidRPr="00E248EF">
              <w:rPr>
                <w:noProof/>
                <w:webHidden/>
              </w:rPr>
              <w:fldChar w:fldCharType="begin"/>
            </w:r>
            <w:r w:rsidRPr="00E248EF">
              <w:rPr>
                <w:noProof/>
                <w:webHidden/>
              </w:rPr>
              <w:instrText xml:space="preserve"> PAGEREF _Toc124266292 \h </w:instrText>
            </w:r>
            <w:r w:rsidRPr="00E248EF">
              <w:rPr>
                <w:noProof/>
                <w:webHidden/>
              </w:rPr>
            </w:r>
            <w:r w:rsidRPr="00E248EF">
              <w:rPr>
                <w:noProof/>
                <w:webHidden/>
              </w:rPr>
              <w:fldChar w:fldCharType="separate"/>
            </w:r>
            <w:r w:rsidR="00C13356">
              <w:rPr>
                <w:noProof/>
                <w:webHidden/>
              </w:rPr>
              <w:t>75</w:t>
            </w:r>
            <w:r w:rsidRPr="00E248EF">
              <w:rPr>
                <w:noProof/>
                <w:webHidden/>
              </w:rPr>
              <w:fldChar w:fldCharType="end"/>
            </w:r>
          </w:hyperlink>
        </w:p>
        <w:p w14:paraId="2CE6B10E" w14:textId="16E234C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3" w:history="1">
            <w:r w:rsidRPr="00E248EF">
              <w:rPr>
                <w:rStyle w:val="Collegamentoipertestuale"/>
                <w:rFonts w:cs="Tahoma"/>
                <w:noProof/>
              </w:rPr>
              <w:t>4.3.11 Contribuzione figurativa</w:t>
            </w:r>
            <w:r w:rsidRPr="00E248EF">
              <w:rPr>
                <w:noProof/>
                <w:webHidden/>
              </w:rPr>
              <w:tab/>
            </w:r>
            <w:r w:rsidRPr="00E248EF">
              <w:rPr>
                <w:noProof/>
                <w:webHidden/>
              </w:rPr>
              <w:fldChar w:fldCharType="begin"/>
            </w:r>
            <w:r w:rsidRPr="00E248EF">
              <w:rPr>
                <w:noProof/>
                <w:webHidden/>
              </w:rPr>
              <w:instrText xml:space="preserve"> PAGEREF _Toc124266293 \h </w:instrText>
            </w:r>
            <w:r w:rsidRPr="00E248EF">
              <w:rPr>
                <w:noProof/>
                <w:webHidden/>
              </w:rPr>
            </w:r>
            <w:r w:rsidRPr="00E248EF">
              <w:rPr>
                <w:noProof/>
                <w:webHidden/>
              </w:rPr>
              <w:fldChar w:fldCharType="separate"/>
            </w:r>
            <w:r w:rsidR="00C13356">
              <w:rPr>
                <w:noProof/>
                <w:webHidden/>
              </w:rPr>
              <w:t>75</w:t>
            </w:r>
            <w:r w:rsidRPr="00E248EF">
              <w:rPr>
                <w:noProof/>
                <w:webHidden/>
              </w:rPr>
              <w:fldChar w:fldCharType="end"/>
            </w:r>
          </w:hyperlink>
        </w:p>
        <w:p w14:paraId="29233EBA" w14:textId="1A65A5F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4" w:history="1">
            <w:r w:rsidRPr="00E248EF">
              <w:rPr>
                <w:rStyle w:val="Collegamentoipertestuale"/>
                <w:rFonts w:cs="Tahoma"/>
                <w:noProof/>
              </w:rPr>
              <w:t>4.3.12 Le novità della Legge di Bilancio 2022</w:t>
            </w:r>
            <w:r w:rsidRPr="00E248EF">
              <w:rPr>
                <w:noProof/>
                <w:webHidden/>
              </w:rPr>
              <w:tab/>
            </w:r>
            <w:r w:rsidRPr="00E248EF">
              <w:rPr>
                <w:noProof/>
                <w:webHidden/>
              </w:rPr>
              <w:fldChar w:fldCharType="begin"/>
            </w:r>
            <w:r w:rsidRPr="00E248EF">
              <w:rPr>
                <w:noProof/>
                <w:webHidden/>
              </w:rPr>
              <w:instrText xml:space="preserve"> PAGEREF _Toc124266294 \h </w:instrText>
            </w:r>
            <w:r w:rsidRPr="00E248EF">
              <w:rPr>
                <w:noProof/>
                <w:webHidden/>
              </w:rPr>
            </w:r>
            <w:r w:rsidRPr="00E248EF">
              <w:rPr>
                <w:noProof/>
                <w:webHidden/>
              </w:rPr>
              <w:fldChar w:fldCharType="separate"/>
            </w:r>
            <w:r w:rsidR="00C13356">
              <w:rPr>
                <w:noProof/>
                <w:webHidden/>
              </w:rPr>
              <w:t>76</w:t>
            </w:r>
            <w:r w:rsidRPr="00E248EF">
              <w:rPr>
                <w:noProof/>
                <w:webHidden/>
              </w:rPr>
              <w:fldChar w:fldCharType="end"/>
            </w:r>
          </w:hyperlink>
        </w:p>
        <w:p w14:paraId="482A3AD7" w14:textId="3DDF401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295" w:history="1">
            <w:r w:rsidRPr="00E248EF">
              <w:rPr>
                <w:rStyle w:val="Collegamentoipertestuale"/>
                <w:rFonts w:cs="Tahoma"/>
                <w:noProof/>
                <w:szCs w:val="20"/>
              </w:rPr>
              <w:t>4.4 Congedo parentale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_Toc124266295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78</w:t>
            </w:r>
            <w:r w:rsidRPr="00E248EF">
              <w:rPr>
                <w:rFonts w:cs="Tahoma"/>
                <w:noProof/>
                <w:webHidden/>
                <w:szCs w:val="20"/>
              </w:rPr>
              <w:fldChar w:fldCharType="end"/>
            </w:r>
          </w:hyperlink>
        </w:p>
        <w:p w14:paraId="172018B5" w14:textId="595F3DA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6" w:history="1">
            <w:r w:rsidRPr="00E248EF">
              <w:rPr>
                <w:rStyle w:val="Collegamentoipertestuale"/>
                <w:rFonts w:cs="Tahoma"/>
                <w:noProof/>
              </w:rPr>
              <w:t>4.4.1 Domanda</w:t>
            </w:r>
            <w:r w:rsidRPr="00E248EF">
              <w:rPr>
                <w:noProof/>
                <w:webHidden/>
              </w:rPr>
              <w:tab/>
            </w:r>
            <w:r w:rsidRPr="00E248EF">
              <w:rPr>
                <w:noProof/>
                <w:webHidden/>
              </w:rPr>
              <w:fldChar w:fldCharType="begin"/>
            </w:r>
            <w:r w:rsidRPr="00E248EF">
              <w:rPr>
                <w:noProof/>
                <w:webHidden/>
              </w:rPr>
              <w:instrText xml:space="preserve"> PAGEREF _Toc124266296 \h </w:instrText>
            </w:r>
            <w:r w:rsidRPr="00E248EF">
              <w:rPr>
                <w:noProof/>
                <w:webHidden/>
              </w:rPr>
            </w:r>
            <w:r w:rsidRPr="00E248EF">
              <w:rPr>
                <w:noProof/>
                <w:webHidden/>
              </w:rPr>
              <w:fldChar w:fldCharType="separate"/>
            </w:r>
            <w:r w:rsidR="00C13356">
              <w:rPr>
                <w:noProof/>
                <w:webHidden/>
              </w:rPr>
              <w:t>79</w:t>
            </w:r>
            <w:r w:rsidRPr="00E248EF">
              <w:rPr>
                <w:noProof/>
                <w:webHidden/>
              </w:rPr>
              <w:fldChar w:fldCharType="end"/>
            </w:r>
          </w:hyperlink>
        </w:p>
        <w:p w14:paraId="45609FFC" w14:textId="2C7E8E37"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7" w:history="1">
            <w:r w:rsidRPr="00E248EF">
              <w:rPr>
                <w:rStyle w:val="Collegamentoipertestuale"/>
                <w:rFonts w:cs="Tahoma"/>
                <w:noProof/>
              </w:rPr>
              <w:t>4.4.2 Nove mesi</w:t>
            </w:r>
            <w:r w:rsidRPr="00E248EF">
              <w:rPr>
                <w:noProof/>
                <w:webHidden/>
              </w:rPr>
              <w:tab/>
            </w:r>
            <w:r w:rsidRPr="00E248EF">
              <w:rPr>
                <w:noProof/>
                <w:webHidden/>
              </w:rPr>
              <w:fldChar w:fldCharType="begin"/>
            </w:r>
            <w:r w:rsidRPr="00E248EF">
              <w:rPr>
                <w:noProof/>
                <w:webHidden/>
              </w:rPr>
              <w:instrText xml:space="preserve"> PAGEREF _Toc124266297 \h </w:instrText>
            </w:r>
            <w:r w:rsidRPr="00E248EF">
              <w:rPr>
                <w:noProof/>
                <w:webHidden/>
              </w:rPr>
            </w:r>
            <w:r w:rsidRPr="00E248EF">
              <w:rPr>
                <w:noProof/>
                <w:webHidden/>
              </w:rPr>
              <w:fldChar w:fldCharType="separate"/>
            </w:r>
            <w:r w:rsidR="00C13356">
              <w:rPr>
                <w:noProof/>
                <w:webHidden/>
              </w:rPr>
              <w:t>79</w:t>
            </w:r>
            <w:r w:rsidRPr="00E248EF">
              <w:rPr>
                <w:noProof/>
                <w:webHidden/>
              </w:rPr>
              <w:fldChar w:fldCharType="end"/>
            </w:r>
          </w:hyperlink>
        </w:p>
        <w:p w14:paraId="26E66449" w14:textId="5F57124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8" w:history="1">
            <w:r w:rsidRPr="00E248EF">
              <w:rPr>
                <w:rStyle w:val="Collegamentoipertestuale"/>
                <w:rFonts w:cs="Tahoma"/>
                <w:noProof/>
              </w:rPr>
              <w:t>4.4.3 Condizioni</w:t>
            </w:r>
            <w:r w:rsidRPr="00E248EF">
              <w:rPr>
                <w:noProof/>
                <w:webHidden/>
              </w:rPr>
              <w:tab/>
            </w:r>
            <w:r w:rsidRPr="00E248EF">
              <w:rPr>
                <w:noProof/>
                <w:webHidden/>
              </w:rPr>
              <w:fldChar w:fldCharType="begin"/>
            </w:r>
            <w:r w:rsidRPr="00E248EF">
              <w:rPr>
                <w:noProof/>
                <w:webHidden/>
              </w:rPr>
              <w:instrText xml:space="preserve"> PAGEREF _Toc124266298 \h </w:instrText>
            </w:r>
            <w:r w:rsidRPr="00E248EF">
              <w:rPr>
                <w:noProof/>
                <w:webHidden/>
              </w:rPr>
            </w:r>
            <w:r w:rsidRPr="00E248EF">
              <w:rPr>
                <w:noProof/>
                <w:webHidden/>
              </w:rPr>
              <w:fldChar w:fldCharType="separate"/>
            </w:r>
            <w:r w:rsidR="00C13356">
              <w:rPr>
                <w:noProof/>
                <w:webHidden/>
              </w:rPr>
              <w:t>80</w:t>
            </w:r>
            <w:r w:rsidRPr="00E248EF">
              <w:rPr>
                <w:noProof/>
                <w:webHidden/>
              </w:rPr>
              <w:fldChar w:fldCharType="end"/>
            </w:r>
          </w:hyperlink>
        </w:p>
        <w:p w14:paraId="6FA200E9" w14:textId="19A2067E"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299" w:history="1">
            <w:r w:rsidRPr="00E248EF">
              <w:rPr>
                <w:rStyle w:val="Collegamentoipertestuale"/>
                <w:rFonts w:cs="Tahoma"/>
                <w:noProof/>
              </w:rPr>
              <w:t>4.4.4 Contribuzione figurativa</w:t>
            </w:r>
            <w:r w:rsidRPr="00E248EF">
              <w:rPr>
                <w:noProof/>
                <w:webHidden/>
              </w:rPr>
              <w:tab/>
            </w:r>
            <w:r w:rsidRPr="00E248EF">
              <w:rPr>
                <w:noProof/>
                <w:webHidden/>
              </w:rPr>
              <w:fldChar w:fldCharType="begin"/>
            </w:r>
            <w:r w:rsidRPr="00E248EF">
              <w:rPr>
                <w:noProof/>
                <w:webHidden/>
              </w:rPr>
              <w:instrText xml:space="preserve"> PAGEREF _Toc124266299 \h </w:instrText>
            </w:r>
            <w:r w:rsidRPr="00E248EF">
              <w:rPr>
                <w:noProof/>
                <w:webHidden/>
              </w:rPr>
            </w:r>
            <w:r w:rsidRPr="00E248EF">
              <w:rPr>
                <w:noProof/>
                <w:webHidden/>
              </w:rPr>
              <w:fldChar w:fldCharType="separate"/>
            </w:r>
            <w:r w:rsidR="00C13356">
              <w:rPr>
                <w:noProof/>
                <w:webHidden/>
              </w:rPr>
              <w:t>80</w:t>
            </w:r>
            <w:r w:rsidRPr="00E248EF">
              <w:rPr>
                <w:noProof/>
                <w:webHidden/>
              </w:rPr>
              <w:fldChar w:fldCharType="end"/>
            </w:r>
          </w:hyperlink>
        </w:p>
        <w:p w14:paraId="3509D3EB" w14:textId="5FA570A9"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00" w:history="1">
            <w:r w:rsidRPr="00E248EF">
              <w:rPr>
                <w:rStyle w:val="Collegamentoipertestuale"/>
                <w:rFonts w:cs="Tahoma"/>
                <w:noProof/>
                <w:szCs w:val="20"/>
              </w:rPr>
              <w:t>4.5 Assegno Nucleo Familiare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_Toc124266300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80</w:t>
            </w:r>
            <w:r w:rsidRPr="00E248EF">
              <w:rPr>
                <w:rFonts w:cs="Tahoma"/>
                <w:noProof/>
                <w:webHidden/>
                <w:szCs w:val="20"/>
              </w:rPr>
              <w:fldChar w:fldCharType="end"/>
            </w:r>
          </w:hyperlink>
        </w:p>
        <w:p w14:paraId="5513C027" w14:textId="710303C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1" w:history="1">
            <w:r w:rsidRPr="00E248EF">
              <w:rPr>
                <w:rStyle w:val="Collegamentoipertestuale"/>
                <w:rFonts w:cs="Tahoma"/>
                <w:noProof/>
              </w:rPr>
              <w:t>4.5.1 Requisiti economici</w:t>
            </w:r>
            <w:r w:rsidRPr="00E248EF">
              <w:rPr>
                <w:noProof/>
                <w:webHidden/>
              </w:rPr>
              <w:tab/>
            </w:r>
            <w:r w:rsidRPr="00E248EF">
              <w:rPr>
                <w:noProof/>
                <w:webHidden/>
              </w:rPr>
              <w:fldChar w:fldCharType="begin"/>
            </w:r>
            <w:r w:rsidRPr="00E248EF">
              <w:rPr>
                <w:noProof/>
                <w:webHidden/>
              </w:rPr>
              <w:instrText xml:space="preserve"> PAGEREF _Toc124266301 \h </w:instrText>
            </w:r>
            <w:r w:rsidRPr="00E248EF">
              <w:rPr>
                <w:noProof/>
                <w:webHidden/>
              </w:rPr>
            </w:r>
            <w:r w:rsidRPr="00E248EF">
              <w:rPr>
                <w:noProof/>
                <w:webHidden/>
              </w:rPr>
              <w:fldChar w:fldCharType="separate"/>
            </w:r>
            <w:r w:rsidR="00C13356">
              <w:rPr>
                <w:noProof/>
                <w:webHidden/>
              </w:rPr>
              <w:t>81</w:t>
            </w:r>
            <w:r w:rsidRPr="00E248EF">
              <w:rPr>
                <w:noProof/>
                <w:webHidden/>
              </w:rPr>
              <w:fldChar w:fldCharType="end"/>
            </w:r>
          </w:hyperlink>
        </w:p>
        <w:p w14:paraId="71BF7394" w14:textId="7F898E4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2" w:history="1">
            <w:r w:rsidRPr="00E248EF">
              <w:rPr>
                <w:rStyle w:val="Collegamentoipertestuale"/>
                <w:rFonts w:cs="Tahoma"/>
                <w:noProof/>
              </w:rPr>
              <w:t>4.5.2 Domanda</w:t>
            </w:r>
            <w:r w:rsidRPr="00E248EF">
              <w:rPr>
                <w:noProof/>
                <w:webHidden/>
              </w:rPr>
              <w:tab/>
            </w:r>
            <w:r w:rsidRPr="00E248EF">
              <w:rPr>
                <w:noProof/>
                <w:webHidden/>
              </w:rPr>
              <w:fldChar w:fldCharType="begin"/>
            </w:r>
            <w:r w:rsidRPr="00E248EF">
              <w:rPr>
                <w:noProof/>
                <w:webHidden/>
              </w:rPr>
              <w:instrText xml:space="preserve"> PAGEREF _Toc124266302 \h </w:instrText>
            </w:r>
            <w:r w:rsidRPr="00E248EF">
              <w:rPr>
                <w:noProof/>
                <w:webHidden/>
              </w:rPr>
            </w:r>
            <w:r w:rsidRPr="00E248EF">
              <w:rPr>
                <w:noProof/>
                <w:webHidden/>
              </w:rPr>
              <w:fldChar w:fldCharType="separate"/>
            </w:r>
            <w:r w:rsidR="00C13356">
              <w:rPr>
                <w:noProof/>
                <w:webHidden/>
              </w:rPr>
              <w:t>82</w:t>
            </w:r>
            <w:r w:rsidRPr="00E248EF">
              <w:rPr>
                <w:noProof/>
                <w:webHidden/>
              </w:rPr>
              <w:fldChar w:fldCharType="end"/>
            </w:r>
          </w:hyperlink>
        </w:p>
        <w:p w14:paraId="58C1E5AE" w14:textId="240C107A"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3" w:history="1">
            <w:r w:rsidRPr="00E248EF">
              <w:rPr>
                <w:rStyle w:val="Collegamentoipertestuale"/>
                <w:rFonts w:cs="Tahoma"/>
                <w:noProof/>
              </w:rPr>
              <w:t>4.5.3 Pagamento</w:t>
            </w:r>
            <w:r w:rsidRPr="00E248EF">
              <w:rPr>
                <w:noProof/>
                <w:webHidden/>
              </w:rPr>
              <w:tab/>
            </w:r>
            <w:r w:rsidRPr="00E248EF">
              <w:rPr>
                <w:noProof/>
                <w:webHidden/>
              </w:rPr>
              <w:fldChar w:fldCharType="begin"/>
            </w:r>
            <w:r w:rsidRPr="00E248EF">
              <w:rPr>
                <w:noProof/>
                <w:webHidden/>
              </w:rPr>
              <w:instrText xml:space="preserve"> PAGEREF _Toc124266303 \h </w:instrText>
            </w:r>
            <w:r w:rsidRPr="00E248EF">
              <w:rPr>
                <w:noProof/>
                <w:webHidden/>
              </w:rPr>
            </w:r>
            <w:r w:rsidRPr="00E248EF">
              <w:rPr>
                <w:noProof/>
                <w:webHidden/>
              </w:rPr>
              <w:fldChar w:fldCharType="separate"/>
            </w:r>
            <w:r w:rsidR="00C13356">
              <w:rPr>
                <w:noProof/>
                <w:webHidden/>
              </w:rPr>
              <w:t>82</w:t>
            </w:r>
            <w:r w:rsidRPr="00E248EF">
              <w:rPr>
                <w:noProof/>
                <w:webHidden/>
              </w:rPr>
              <w:fldChar w:fldCharType="end"/>
            </w:r>
          </w:hyperlink>
        </w:p>
        <w:p w14:paraId="21953A3A" w14:textId="33FFC26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4" w:history="1">
            <w:r w:rsidRPr="00E248EF">
              <w:rPr>
                <w:rStyle w:val="Collegamentoipertestuale"/>
                <w:rFonts w:cs="Tahoma"/>
                <w:noProof/>
              </w:rPr>
              <w:t>4.5.4 Importo</w:t>
            </w:r>
            <w:r w:rsidRPr="00E248EF">
              <w:rPr>
                <w:noProof/>
                <w:webHidden/>
              </w:rPr>
              <w:tab/>
            </w:r>
            <w:r w:rsidRPr="00E248EF">
              <w:rPr>
                <w:noProof/>
                <w:webHidden/>
              </w:rPr>
              <w:fldChar w:fldCharType="begin"/>
            </w:r>
            <w:r w:rsidRPr="00E248EF">
              <w:rPr>
                <w:noProof/>
                <w:webHidden/>
              </w:rPr>
              <w:instrText xml:space="preserve"> PAGEREF _Toc124266304 \h </w:instrText>
            </w:r>
            <w:r w:rsidRPr="00E248EF">
              <w:rPr>
                <w:noProof/>
                <w:webHidden/>
              </w:rPr>
            </w:r>
            <w:r w:rsidRPr="00E248EF">
              <w:rPr>
                <w:noProof/>
                <w:webHidden/>
              </w:rPr>
              <w:fldChar w:fldCharType="separate"/>
            </w:r>
            <w:r w:rsidR="00C13356">
              <w:rPr>
                <w:noProof/>
                <w:webHidden/>
              </w:rPr>
              <w:t>82</w:t>
            </w:r>
            <w:r w:rsidRPr="00E248EF">
              <w:rPr>
                <w:noProof/>
                <w:webHidden/>
              </w:rPr>
              <w:fldChar w:fldCharType="end"/>
            </w:r>
          </w:hyperlink>
        </w:p>
        <w:p w14:paraId="74E779C4" w14:textId="7DD4670F"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5" w:history="1">
            <w:r w:rsidRPr="00E248EF">
              <w:rPr>
                <w:rStyle w:val="Collegamentoipertestuale"/>
                <w:rFonts w:cs="Tahoma"/>
                <w:noProof/>
              </w:rPr>
              <w:t>4.5.5 Maggiorazione ANF</w:t>
            </w:r>
            <w:r w:rsidRPr="00E248EF">
              <w:rPr>
                <w:noProof/>
                <w:webHidden/>
              </w:rPr>
              <w:tab/>
            </w:r>
            <w:r w:rsidRPr="00E248EF">
              <w:rPr>
                <w:noProof/>
                <w:webHidden/>
              </w:rPr>
              <w:fldChar w:fldCharType="begin"/>
            </w:r>
            <w:r w:rsidRPr="00E248EF">
              <w:rPr>
                <w:noProof/>
                <w:webHidden/>
              </w:rPr>
              <w:instrText xml:space="preserve"> PAGEREF _Toc124266305 \h </w:instrText>
            </w:r>
            <w:r w:rsidRPr="00E248EF">
              <w:rPr>
                <w:noProof/>
                <w:webHidden/>
              </w:rPr>
            </w:r>
            <w:r w:rsidRPr="00E248EF">
              <w:rPr>
                <w:noProof/>
                <w:webHidden/>
              </w:rPr>
              <w:fldChar w:fldCharType="separate"/>
            </w:r>
            <w:r w:rsidR="00C13356">
              <w:rPr>
                <w:noProof/>
                <w:webHidden/>
              </w:rPr>
              <w:t>85</w:t>
            </w:r>
            <w:r w:rsidRPr="00E248EF">
              <w:rPr>
                <w:noProof/>
                <w:webHidden/>
              </w:rPr>
              <w:fldChar w:fldCharType="end"/>
            </w:r>
          </w:hyperlink>
        </w:p>
        <w:p w14:paraId="6F3744F8" w14:textId="294989D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6" w:history="1">
            <w:r w:rsidRPr="00E248EF">
              <w:rPr>
                <w:rStyle w:val="Collegamentoipertestuale"/>
                <w:rFonts w:cs="Tahoma"/>
                <w:noProof/>
              </w:rPr>
              <w:t>4.5.6 Destinatari della maggiorazione</w:t>
            </w:r>
            <w:r w:rsidRPr="00E248EF">
              <w:rPr>
                <w:noProof/>
                <w:webHidden/>
              </w:rPr>
              <w:tab/>
            </w:r>
            <w:r w:rsidRPr="00E248EF">
              <w:rPr>
                <w:noProof/>
                <w:webHidden/>
              </w:rPr>
              <w:fldChar w:fldCharType="begin"/>
            </w:r>
            <w:r w:rsidRPr="00E248EF">
              <w:rPr>
                <w:noProof/>
                <w:webHidden/>
              </w:rPr>
              <w:instrText xml:space="preserve"> PAGEREF _Toc124266306 \h </w:instrText>
            </w:r>
            <w:r w:rsidRPr="00E248EF">
              <w:rPr>
                <w:noProof/>
                <w:webHidden/>
              </w:rPr>
            </w:r>
            <w:r w:rsidRPr="00E248EF">
              <w:rPr>
                <w:noProof/>
                <w:webHidden/>
              </w:rPr>
              <w:fldChar w:fldCharType="separate"/>
            </w:r>
            <w:r w:rsidR="00C13356">
              <w:rPr>
                <w:noProof/>
                <w:webHidden/>
              </w:rPr>
              <w:t>85</w:t>
            </w:r>
            <w:r w:rsidRPr="00E248EF">
              <w:rPr>
                <w:noProof/>
                <w:webHidden/>
              </w:rPr>
              <w:fldChar w:fldCharType="end"/>
            </w:r>
          </w:hyperlink>
        </w:p>
        <w:p w14:paraId="365DC62C" w14:textId="36208CB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07" w:history="1">
            <w:r w:rsidRPr="00E248EF">
              <w:rPr>
                <w:rStyle w:val="Collegamentoipertestuale"/>
                <w:rFonts w:cs="Tahoma"/>
                <w:noProof/>
              </w:rPr>
              <w:t>4.5.7 Incompatibilità</w:t>
            </w:r>
            <w:r w:rsidRPr="00E248EF">
              <w:rPr>
                <w:noProof/>
                <w:webHidden/>
              </w:rPr>
              <w:tab/>
            </w:r>
            <w:r w:rsidRPr="00E248EF">
              <w:rPr>
                <w:noProof/>
                <w:webHidden/>
              </w:rPr>
              <w:fldChar w:fldCharType="begin"/>
            </w:r>
            <w:r w:rsidRPr="00E248EF">
              <w:rPr>
                <w:noProof/>
                <w:webHidden/>
              </w:rPr>
              <w:instrText xml:space="preserve"> PAGEREF _Toc124266307 \h </w:instrText>
            </w:r>
            <w:r w:rsidRPr="00E248EF">
              <w:rPr>
                <w:noProof/>
                <w:webHidden/>
              </w:rPr>
            </w:r>
            <w:r w:rsidRPr="00E248EF">
              <w:rPr>
                <w:noProof/>
                <w:webHidden/>
              </w:rPr>
              <w:fldChar w:fldCharType="separate"/>
            </w:r>
            <w:r w:rsidR="00C13356">
              <w:rPr>
                <w:noProof/>
                <w:webHidden/>
              </w:rPr>
              <w:t>86</w:t>
            </w:r>
            <w:r w:rsidRPr="00E248EF">
              <w:rPr>
                <w:noProof/>
                <w:webHidden/>
              </w:rPr>
              <w:fldChar w:fldCharType="end"/>
            </w:r>
          </w:hyperlink>
        </w:p>
        <w:p w14:paraId="74CBE19F" w14:textId="61EAE100"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308" w:history="1">
            <w:r w:rsidRPr="00E248EF">
              <w:rPr>
                <w:rStyle w:val="Collegamentoipertestuale"/>
                <w:rFonts w:cs="Tahoma"/>
                <w:noProof/>
              </w:rPr>
              <w:t>5.</w:t>
            </w:r>
          </w:hyperlink>
          <w:r w:rsidRPr="00E248EF">
            <w:rPr>
              <w:rFonts w:eastAsiaTheme="minorEastAsia"/>
              <w:b w:val="0"/>
              <w:noProof/>
              <w:lang w:eastAsia="it-IT"/>
            </w:rPr>
            <w:t xml:space="preserve"> </w:t>
          </w:r>
          <w:hyperlink w:anchor="_Toc124266309" w:history="1">
            <w:r w:rsidRPr="00E248EF">
              <w:rPr>
                <w:rStyle w:val="Collegamentoipertestuale"/>
                <w:rFonts w:cs="Tahoma"/>
                <w:noProof/>
              </w:rPr>
              <w:t>Redditi diversi</w:t>
            </w:r>
            <w:r w:rsidRPr="00E248EF">
              <w:rPr>
                <w:noProof/>
                <w:webHidden/>
              </w:rPr>
              <w:tab/>
            </w:r>
            <w:r w:rsidRPr="00E248EF">
              <w:rPr>
                <w:noProof/>
                <w:webHidden/>
              </w:rPr>
              <w:fldChar w:fldCharType="begin"/>
            </w:r>
            <w:r w:rsidRPr="00E248EF">
              <w:rPr>
                <w:noProof/>
                <w:webHidden/>
              </w:rPr>
              <w:instrText xml:space="preserve"> PAGEREF _Toc124266309 \h </w:instrText>
            </w:r>
            <w:r w:rsidRPr="00E248EF">
              <w:rPr>
                <w:noProof/>
                <w:webHidden/>
              </w:rPr>
            </w:r>
            <w:r w:rsidRPr="00E248EF">
              <w:rPr>
                <w:noProof/>
                <w:webHidden/>
              </w:rPr>
              <w:fldChar w:fldCharType="separate"/>
            </w:r>
            <w:r w:rsidR="00C13356">
              <w:rPr>
                <w:noProof/>
                <w:webHidden/>
              </w:rPr>
              <w:t>87</w:t>
            </w:r>
            <w:r w:rsidRPr="00E248EF">
              <w:rPr>
                <w:noProof/>
                <w:webHidden/>
              </w:rPr>
              <w:fldChar w:fldCharType="end"/>
            </w:r>
          </w:hyperlink>
        </w:p>
        <w:p w14:paraId="4C9B7BAF" w14:textId="04BCEC6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0" w:history="1">
            <w:r w:rsidRPr="00E248EF">
              <w:rPr>
                <w:rStyle w:val="Collegamentoipertestuale"/>
                <w:rFonts w:cs="Tahoma"/>
                <w:noProof/>
                <w:szCs w:val="20"/>
              </w:rPr>
              <w:t>5.1 Ritenuta d’acconto</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_Toc124266310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88</w:t>
            </w:r>
            <w:r w:rsidRPr="00E248EF">
              <w:rPr>
                <w:rFonts w:cs="Tahoma"/>
                <w:noProof/>
                <w:webHidden/>
                <w:szCs w:val="20"/>
              </w:rPr>
              <w:fldChar w:fldCharType="end"/>
            </w:r>
          </w:hyperlink>
        </w:p>
        <w:p w14:paraId="03E4CA36" w14:textId="02EEF2E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1" w:history="1">
            <w:r w:rsidRPr="00E248EF">
              <w:rPr>
                <w:rStyle w:val="Collegamentoipertestuale"/>
                <w:rFonts w:cs="Tahoma"/>
                <w:noProof/>
                <w:szCs w:val="20"/>
              </w:rPr>
              <w:t>5.2 Versamento con modello F24</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_Toc124266311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89</w:t>
            </w:r>
            <w:r w:rsidRPr="00E248EF">
              <w:rPr>
                <w:rFonts w:cs="Tahoma"/>
                <w:noProof/>
                <w:webHidden/>
                <w:szCs w:val="20"/>
              </w:rPr>
              <w:fldChar w:fldCharType="end"/>
            </w:r>
          </w:hyperlink>
        </w:p>
        <w:p w14:paraId="7B2E20BA" w14:textId="1A77741C"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2" w:history="1">
            <w:r w:rsidRPr="00E248EF">
              <w:rPr>
                <w:rStyle w:val="Collegamentoipertestuale"/>
                <w:rFonts w:cs="Tahoma"/>
                <w:noProof/>
                <w:szCs w:val="20"/>
              </w:rPr>
              <w:t>5.3 Sostituti d’imposta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_Toc124266312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89</w:t>
            </w:r>
            <w:r w:rsidRPr="00E248EF">
              <w:rPr>
                <w:rFonts w:cs="Tahoma"/>
                <w:noProof/>
                <w:webHidden/>
                <w:szCs w:val="20"/>
              </w:rPr>
              <w:fldChar w:fldCharType="end"/>
            </w:r>
          </w:hyperlink>
        </w:p>
        <w:p w14:paraId="2DE66CD6" w14:textId="77D46A0A"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313" w:history="1">
            <w:r w:rsidRPr="00E248EF">
              <w:rPr>
                <w:rStyle w:val="Collegamentoipertestuale"/>
                <w:rFonts w:cs="Tahoma"/>
                <w:noProof/>
              </w:rPr>
              <w:t>6.</w:t>
            </w:r>
          </w:hyperlink>
          <w:r w:rsidRPr="00E248EF">
            <w:rPr>
              <w:rFonts w:eastAsiaTheme="minorEastAsia"/>
              <w:b w:val="0"/>
              <w:noProof/>
              <w:lang w:eastAsia="it-IT"/>
            </w:rPr>
            <w:t xml:space="preserve"> </w:t>
          </w:r>
          <w:hyperlink w:anchor="_Toc124266314" w:history="1">
            <w:r w:rsidRPr="00E248EF">
              <w:rPr>
                <w:rStyle w:val="Collegamentoipertestuale"/>
                <w:rFonts w:cs="Tahoma"/>
                <w:noProof/>
              </w:rPr>
              <w:t>Esempi di calcolo del netto da corrispondere</w:t>
            </w:r>
            <w:r w:rsidRPr="00E248EF">
              <w:rPr>
                <w:noProof/>
                <w:webHidden/>
              </w:rPr>
              <w:tab/>
            </w:r>
            <w:r w:rsidRPr="00E248EF">
              <w:rPr>
                <w:noProof/>
                <w:webHidden/>
              </w:rPr>
              <w:fldChar w:fldCharType="begin"/>
            </w:r>
            <w:r w:rsidRPr="00E248EF">
              <w:rPr>
                <w:noProof/>
                <w:webHidden/>
              </w:rPr>
              <w:instrText xml:space="preserve"> PAGEREF _Toc124266314 \h </w:instrText>
            </w:r>
            <w:r w:rsidRPr="00E248EF">
              <w:rPr>
                <w:noProof/>
                <w:webHidden/>
              </w:rPr>
            </w:r>
            <w:r w:rsidRPr="00E248EF">
              <w:rPr>
                <w:noProof/>
                <w:webHidden/>
              </w:rPr>
              <w:fldChar w:fldCharType="separate"/>
            </w:r>
            <w:r w:rsidR="00C13356">
              <w:rPr>
                <w:noProof/>
                <w:webHidden/>
              </w:rPr>
              <w:t>91</w:t>
            </w:r>
            <w:r w:rsidRPr="00E248EF">
              <w:rPr>
                <w:noProof/>
                <w:webHidden/>
              </w:rPr>
              <w:fldChar w:fldCharType="end"/>
            </w:r>
          </w:hyperlink>
        </w:p>
        <w:p w14:paraId="7BEA0B7B" w14:textId="15C42FF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5" w:history="1">
            <w:r w:rsidRPr="00E248EF">
              <w:rPr>
                <w:rStyle w:val="Collegamentoipertestuale"/>
                <w:rFonts w:cs="Tahoma"/>
                <w:noProof/>
                <w:szCs w:val="20"/>
              </w:rPr>
              <w:t>6.1 Lavoratore non iscritto ad altre forme di previdenza obbligatoria</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_Toc124266315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91</w:t>
            </w:r>
            <w:r w:rsidRPr="00E248EF">
              <w:rPr>
                <w:rFonts w:cs="Tahoma"/>
                <w:noProof/>
                <w:webHidden/>
                <w:szCs w:val="20"/>
              </w:rPr>
              <w:fldChar w:fldCharType="end"/>
            </w:r>
          </w:hyperlink>
        </w:p>
        <w:p w14:paraId="5CC7614C" w14:textId="3635F8A0"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6" w:history="1">
            <w:r w:rsidRPr="00E248EF">
              <w:rPr>
                <w:rStyle w:val="Collegamentoipertestuale"/>
                <w:rFonts w:cs="Tahoma"/>
                <w:noProof/>
                <w:szCs w:val="20"/>
              </w:rPr>
              <w:t>6.2 Lavoratore iscritto ad altre forme di previdenza obbligatorie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_Toc124266316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92</w:t>
            </w:r>
            <w:r w:rsidRPr="00E248EF">
              <w:rPr>
                <w:rFonts w:cs="Tahoma"/>
                <w:noProof/>
                <w:webHidden/>
                <w:szCs w:val="20"/>
              </w:rPr>
              <w:fldChar w:fldCharType="end"/>
            </w:r>
          </w:hyperlink>
        </w:p>
        <w:p w14:paraId="77B4CD57" w14:textId="5EBE1B84" w:rsidR="00E248EF" w:rsidRPr="00E248EF" w:rsidRDefault="00E248EF" w:rsidP="00E248EF">
          <w:pPr>
            <w:pStyle w:val="Sommario1"/>
            <w:tabs>
              <w:tab w:val="right" w:leader="dot" w:pos="9628"/>
            </w:tabs>
            <w:spacing w:before="60" w:after="60" w:line="326" w:lineRule="auto"/>
            <w:rPr>
              <w:rFonts w:eastAsiaTheme="minorEastAsia"/>
              <w:b w:val="0"/>
              <w:noProof/>
              <w:lang w:eastAsia="it-IT"/>
            </w:rPr>
          </w:pPr>
          <w:hyperlink w:anchor="_Toc124266317" w:history="1">
            <w:r w:rsidRPr="00E248EF">
              <w:rPr>
                <w:rStyle w:val="Collegamentoipertestuale"/>
                <w:rFonts w:cs="Tahoma"/>
                <w:noProof/>
              </w:rPr>
              <w:t>7.</w:t>
            </w:r>
          </w:hyperlink>
          <w:r w:rsidRPr="00E248EF">
            <w:rPr>
              <w:rFonts w:eastAsiaTheme="minorEastAsia"/>
              <w:b w:val="0"/>
              <w:noProof/>
              <w:lang w:eastAsia="it-IT"/>
            </w:rPr>
            <w:t xml:space="preserve"> </w:t>
          </w:r>
          <w:hyperlink w:anchor="_Toc124266318" w:history="1">
            <w:r w:rsidRPr="00E248EF">
              <w:rPr>
                <w:rStyle w:val="Collegamentoipertestuale"/>
                <w:rFonts w:cs="Tahoma"/>
                <w:noProof/>
              </w:rPr>
              <w:t>Dichiarazioni fiscali</w:t>
            </w:r>
            <w:r w:rsidRPr="00E248EF">
              <w:rPr>
                <w:noProof/>
                <w:webHidden/>
              </w:rPr>
              <w:tab/>
            </w:r>
            <w:r w:rsidRPr="00E248EF">
              <w:rPr>
                <w:noProof/>
                <w:webHidden/>
              </w:rPr>
              <w:fldChar w:fldCharType="begin"/>
            </w:r>
            <w:r w:rsidRPr="00E248EF">
              <w:rPr>
                <w:noProof/>
                <w:webHidden/>
              </w:rPr>
              <w:instrText xml:space="preserve"> PAGEREF _Toc124266318 \h </w:instrText>
            </w:r>
            <w:r w:rsidRPr="00E248EF">
              <w:rPr>
                <w:noProof/>
                <w:webHidden/>
              </w:rPr>
            </w:r>
            <w:r w:rsidRPr="00E248EF">
              <w:rPr>
                <w:noProof/>
                <w:webHidden/>
              </w:rPr>
              <w:fldChar w:fldCharType="separate"/>
            </w:r>
            <w:r w:rsidR="00C13356">
              <w:rPr>
                <w:noProof/>
                <w:webHidden/>
              </w:rPr>
              <w:t>93</w:t>
            </w:r>
            <w:r w:rsidRPr="00E248EF">
              <w:rPr>
                <w:noProof/>
                <w:webHidden/>
              </w:rPr>
              <w:fldChar w:fldCharType="end"/>
            </w:r>
          </w:hyperlink>
        </w:p>
        <w:p w14:paraId="6E3680DB" w14:textId="2F859446"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19" w:history="1">
            <w:r w:rsidRPr="00E248EF">
              <w:rPr>
                <w:rStyle w:val="Collegamentoipertestuale"/>
                <w:rFonts w:cs="Tahoma"/>
                <w:noProof/>
                <w:szCs w:val="20"/>
              </w:rPr>
              <w:t>7.1 Certificazioni Uniche</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_Toc124266319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93</w:t>
            </w:r>
            <w:r w:rsidRPr="00E248EF">
              <w:rPr>
                <w:rFonts w:cs="Tahoma"/>
                <w:noProof/>
                <w:webHidden/>
                <w:szCs w:val="20"/>
              </w:rPr>
              <w:fldChar w:fldCharType="end"/>
            </w:r>
          </w:hyperlink>
        </w:p>
        <w:p w14:paraId="3BFA544F" w14:textId="41CC6CD2"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0" w:history="1">
            <w:r w:rsidRPr="00E248EF">
              <w:rPr>
                <w:rStyle w:val="Collegamentoipertestuale"/>
                <w:rFonts w:cs="Tahoma"/>
                <w:noProof/>
              </w:rPr>
              <w:t>7.1.1 Termine</w:t>
            </w:r>
            <w:r w:rsidRPr="00E248EF">
              <w:rPr>
                <w:noProof/>
                <w:webHidden/>
              </w:rPr>
              <w:tab/>
            </w:r>
            <w:r w:rsidRPr="00E248EF">
              <w:rPr>
                <w:noProof/>
                <w:webHidden/>
              </w:rPr>
              <w:fldChar w:fldCharType="begin"/>
            </w:r>
            <w:r w:rsidRPr="00E248EF">
              <w:rPr>
                <w:noProof/>
                <w:webHidden/>
              </w:rPr>
              <w:instrText xml:space="preserve"> PAGEREF _Toc124266320 \h </w:instrText>
            </w:r>
            <w:r w:rsidRPr="00E248EF">
              <w:rPr>
                <w:noProof/>
                <w:webHidden/>
              </w:rPr>
            </w:r>
            <w:r w:rsidRPr="00E248EF">
              <w:rPr>
                <w:noProof/>
                <w:webHidden/>
              </w:rPr>
              <w:fldChar w:fldCharType="separate"/>
            </w:r>
            <w:r w:rsidR="00C13356">
              <w:rPr>
                <w:noProof/>
                <w:webHidden/>
              </w:rPr>
              <w:t>94</w:t>
            </w:r>
            <w:r w:rsidRPr="00E248EF">
              <w:rPr>
                <w:noProof/>
                <w:webHidden/>
              </w:rPr>
              <w:fldChar w:fldCharType="end"/>
            </w:r>
          </w:hyperlink>
        </w:p>
        <w:p w14:paraId="0D813331" w14:textId="34B19AE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1" w:history="1">
            <w:r w:rsidRPr="00E248EF">
              <w:rPr>
                <w:rStyle w:val="Collegamentoipertestuale"/>
                <w:rFonts w:cs="Tahoma"/>
                <w:noProof/>
              </w:rPr>
              <w:t>7.1.2 Invio</w:t>
            </w:r>
            <w:r w:rsidRPr="00E248EF">
              <w:rPr>
                <w:noProof/>
                <w:webHidden/>
              </w:rPr>
              <w:tab/>
            </w:r>
            <w:r w:rsidRPr="00E248EF">
              <w:rPr>
                <w:noProof/>
                <w:webHidden/>
              </w:rPr>
              <w:fldChar w:fldCharType="begin"/>
            </w:r>
            <w:r w:rsidRPr="00E248EF">
              <w:rPr>
                <w:noProof/>
                <w:webHidden/>
              </w:rPr>
              <w:instrText xml:space="preserve"> PAGEREF _Toc124266321 \h </w:instrText>
            </w:r>
            <w:r w:rsidRPr="00E248EF">
              <w:rPr>
                <w:noProof/>
                <w:webHidden/>
              </w:rPr>
            </w:r>
            <w:r w:rsidRPr="00E248EF">
              <w:rPr>
                <w:noProof/>
                <w:webHidden/>
              </w:rPr>
              <w:fldChar w:fldCharType="separate"/>
            </w:r>
            <w:r w:rsidR="00C13356">
              <w:rPr>
                <w:noProof/>
                <w:webHidden/>
              </w:rPr>
              <w:t>94</w:t>
            </w:r>
            <w:r w:rsidRPr="00E248EF">
              <w:rPr>
                <w:noProof/>
                <w:webHidden/>
              </w:rPr>
              <w:fldChar w:fldCharType="end"/>
            </w:r>
          </w:hyperlink>
        </w:p>
        <w:p w14:paraId="3095A622" w14:textId="63234622"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2" w:history="1">
            <w:r w:rsidRPr="00E248EF">
              <w:rPr>
                <w:rStyle w:val="Collegamentoipertestuale"/>
                <w:rFonts w:cs="Tahoma"/>
                <w:noProof/>
              </w:rPr>
              <w:t>7.1.3 Soggetti obbligati</w:t>
            </w:r>
            <w:r w:rsidRPr="00E248EF">
              <w:rPr>
                <w:noProof/>
                <w:webHidden/>
              </w:rPr>
              <w:tab/>
            </w:r>
            <w:r w:rsidRPr="00E248EF">
              <w:rPr>
                <w:noProof/>
                <w:webHidden/>
              </w:rPr>
              <w:fldChar w:fldCharType="begin"/>
            </w:r>
            <w:r w:rsidRPr="00E248EF">
              <w:rPr>
                <w:noProof/>
                <w:webHidden/>
              </w:rPr>
              <w:instrText xml:space="preserve"> PAGEREF _Toc124266322 \h </w:instrText>
            </w:r>
            <w:r w:rsidRPr="00E248EF">
              <w:rPr>
                <w:noProof/>
                <w:webHidden/>
              </w:rPr>
            </w:r>
            <w:r w:rsidRPr="00E248EF">
              <w:rPr>
                <w:noProof/>
                <w:webHidden/>
              </w:rPr>
              <w:fldChar w:fldCharType="separate"/>
            </w:r>
            <w:r w:rsidR="00C13356">
              <w:rPr>
                <w:noProof/>
                <w:webHidden/>
              </w:rPr>
              <w:t>95</w:t>
            </w:r>
            <w:r w:rsidRPr="00E248EF">
              <w:rPr>
                <w:noProof/>
                <w:webHidden/>
              </w:rPr>
              <w:fldChar w:fldCharType="end"/>
            </w:r>
          </w:hyperlink>
        </w:p>
        <w:p w14:paraId="78133D31" w14:textId="372F9A9A"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3" w:history="1">
            <w:r w:rsidRPr="00E248EF">
              <w:rPr>
                <w:rStyle w:val="Collegamentoipertestuale"/>
                <w:rFonts w:cs="Tahoma"/>
                <w:noProof/>
              </w:rPr>
              <w:t>7.1.4 Composizione</w:t>
            </w:r>
            <w:r w:rsidRPr="00E248EF">
              <w:rPr>
                <w:noProof/>
                <w:webHidden/>
              </w:rPr>
              <w:tab/>
            </w:r>
            <w:r w:rsidRPr="00E248EF">
              <w:rPr>
                <w:noProof/>
                <w:webHidden/>
              </w:rPr>
              <w:fldChar w:fldCharType="begin"/>
            </w:r>
            <w:r w:rsidRPr="00E248EF">
              <w:rPr>
                <w:noProof/>
                <w:webHidden/>
              </w:rPr>
              <w:instrText xml:space="preserve"> PAGEREF _Toc124266323 \h </w:instrText>
            </w:r>
            <w:r w:rsidRPr="00E248EF">
              <w:rPr>
                <w:noProof/>
                <w:webHidden/>
              </w:rPr>
            </w:r>
            <w:r w:rsidRPr="00E248EF">
              <w:rPr>
                <w:noProof/>
                <w:webHidden/>
              </w:rPr>
              <w:fldChar w:fldCharType="separate"/>
            </w:r>
            <w:r w:rsidR="00C13356">
              <w:rPr>
                <w:noProof/>
                <w:webHidden/>
              </w:rPr>
              <w:t>95</w:t>
            </w:r>
            <w:r w:rsidRPr="00E248EF">
              <w:rPr>
                <w:noProof/>
                <w:webHidden/>
              </w:rPr>
              <w:fldChar w:fldCharType="end"/>
            </w:r>
          </w:hyperlink>
        </w:p>
        <w:p w14:paraId="151F6EA6" w14:textId="295E6BE1"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4" w:history="1">
            <w:r w:rsidRPr="00E248EF">
              <w:rPr>
                <w:rStyle w:val="Collegamentoipertestuale"/>
                <w:rFonts w:cs="Tahoma"/>
                <w:noProof/>
              </w:rPr>
              <w:t>7.1.5 Frontespizio</w:t>
            </w:r>
            <w:r w:rsidRPr="00E248EF">
              <w:rPr>
                <w:noProof/>
                <w:webHidden/>
              </w:rPr>
              <w:tab/>
            </w:r>
            <w:r w:rsidRPr="00E248EF">
              <w:rPr>
                <w:noProof/>
                <w:webHidden/>
              </w:rPr>
              <w:fldChar w:fldCharType="begin"/>
            </w:r>
            <w:r w:rsidRPr="00E248EF">
              <w:rPr>
                <w:noProof/>
                <w:webHidden/>
              </w:rPr>
              <w:instrText xml:space="preserve"> PAGEREF _Toc124266324 \h </w:instrText>
            </w:r>
            <w:r w:rsidRPr="00E248EF">
              <w:rPr>
                <w:noProof/>
                <w:webHidden/>
              </w:rPr>
            </w:r>
            <w:r w:rsidRPr="00E248EF">
              <w:rPr>
                <w:noProof/>
                <w:webHidden/>
              </w:rPr>
              <w:fldChar w:fldCharType="separate"/>
            </w:r>
            <w:r w:rsidR="00C13356">
              <w:rPr>
                <w:noProof/>
                <w:webHidden/>
              </w:rPr>
              <w:t>95</w:t>
            </w:r>
            <w:r w:rsidRPr="00E248EF">
              <w:rPr>
                <w:noProof/>
                <w:webHidden/>
              </w:rPr>
              <w:fldChar w:fldCharType="end"/>
            </w:r>
          </w:hyperlink>
        </w:p>
        <w:p w14:paraId="71E494DE" w14:textId="64650C9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5" w:history="1">
            <w:r w:rsidRPr="00E248EF">
              <w:rPr>
                <w:rStyle w:val="Collegamentoipertestuale"/>
                <w:rFonts w:cs="Tahoma"/>
                <w:noProof/>
              </w:rPr>
              <w:t>7.1.6 Quadro CT</w:t>
            </w:r>
            <w:r w:rsidRPr="00E248EF">
              <w:rPr>
                <w:noProof/>
                <w:webHidden/>
              </w:rPr>
              <w:tab/>
            </w:r>
            <w:r w:rsidRPr="00E248EF">
              <w:rPr>
                <w:noProof/>
                <w:webHidden/>
              </w:rPr>
              <w:fldChar w:fldCharType="begin"/>
            </w:r>
            <w:r w:rsidRPr="00E248EF">
              <w:rPr>
                <w:noProof/>
                <w:webHidden/>
              </w:rPr>
              <w:instrText xml:space="preserve"> PAGEREF _Toc124266325 \h </w:instrText>
            </w:r>
            <w:r w:rsidRPr="00E248EF">
              <w:rPr>
                <w:noProof/>
                <w:webHidden/>
              </w:rPr>
            </w:r>
            <w:r w:rsidRPr="00E248EF">
              <w:rPr>
                <w:noProof/>
                <w:webHidden/>
              </w:rPr>
              <w:fldChar w:fldCharType="separate"/>
            </w:r>
            <w:r w:rsidR="00C13356">
              <w:rPr>
                <w:noProof/>
                <w:webHidden/>
              </w:rPr>
              <w:t>95</w:t>
            </w:r>
            <w:r w:rsidRPr="00E248EF">
              <w:rPr>
                <w:noProof/>
                <w:webHidden/>
              </w:rPr>
              <w:fldChar w:fldCharType="end"/>
            </w:r>
          </w:hyperlink>
        </w:p>
        <w:p w14:paraId="692FFC30" w14:textId="37EFDE95"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6" w:history="1">
            <w:r w:rsidRPr="00E248EF">
              <w:rPr>
                <w:rStyle w:val="Collegamentoipertestuale"/>
                <w:rFonts w:cs="Tahoma"/>
                <w:noProof/>
              </w:rPr>
              <w:t>7.1.7 Certificazione unica</w:t>
            </w:r>
            <w:r w:rsidRPr="00E248EF">
              <w:rPr>
                <w:noProof/>
                <w:webHidden/>
              </w:rPr>
              <w:tab/>
            </w:r>
            <w:r w:rsidRPr="00E248EF">
              <w:rPr>
                <w:noProof/>
                <w:webHidden/>
              </w:rPr>
              <w:fldChar w:fldCharType="begin"/>
            </w:r>
            <w:r w:rsidRPr="00E248EF">
              <w:rPr>
                <w:noProof/>
                <w:webHidden/>
              </w:rPr>
              <w:instrText xml:space="preserve"> PAGEREF _Toc124266326 \h </w:instrText>
            </w:r>
            <w:r w:rsidRPr="00E248EF">
              <w:rPr>
                <w:noProof/>
                <w:webHidden/>
              </w:rPr>
            </w:r>
            <w:r w:rsidRPr="00E248EF">
              <w:rPr>
                <w:noProof/>
                <w:webHidden/>
              </w:rPr>
              <w:fldChar w:fldCharType="separate"/>
            </w:r>
            <w:r w:rsidR="00C13356">
              <w:rPr>
                <w:noProof/>
                <w:webHidden/>
              </w:rPr>
              <w:t>96</w:t>
            </w:r>
            <w:r w:rsidRPr="00E248EF">
              <w:rPr>
                <w:noProof/>
                <w:webHidden/>
              </w:rPr>
              <w:fldChar w:fldCharType="end"/>
            </w:r>
          </w:hyperlink>
        </w:p>
        <w:p w14:paraId="70EA9ADF" w14:textId="54303F4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7" w:history="1">
            <w:r w:rsidRPr="00E248EF">
              <w:rPr>
                <w:rStyle w:val="Collegamentoipertestuale"/>
                <w:rFonts w:cs="Tahoma"/>
                <w:noProof/>
              </w:rPr>
              <w:t>7.1.8 Dati fiscali</w:t>
            </w:r>
            <w:r w:rsidRPr="00E248EF">
              <w:rPr>
                <w:noProof/>
                <w:webHidden/>
              </w:rPr>
              <w:tab/>
            </w:r>
            <w:r w:rsidRPr="00E248EF">
              <w:rPr>
                <w:noProof/>
                <w:webHidden/>
              </w:rPr>
              <w:fldChar w:fldCharType="begin"/>
            </w:r>
            <w:r w:rsidRPr="00E248EF">
              <w:rPr>
                <w:noProof/>
                <w:webHidden/>
              </w:rPr>
              <w:instrText xml:space="preserve"> PAGEREF _Toc124266327 \h </w:instrText>
            </w:r>
            <w:r w:rsidRPr="00E248EF">
              <w:rPr>
                <w:noProof/>
                <w:webHidden/>
              </w:rPr>
            </w:r>
            <w:r w:rsidRPr="00E248EF">
              <w:rPr>
                <w:noProof/>
                <w:webHidden/>
              </w:rPr>
              <w:fldChar w:fldCharType="separate"/>
            </w:r>
            <w:r w:rsidR="00C13356">
              <w:rPr>
                <w:noProof/>
                <w:webHidden/>
              </w:rPr>
              <w:t>96</w:t>
            </w:r>
            <w:r w:rsidRPr="00E248EF">
              <w:rPr>
                <w:noProof/>
                <w:webHidden/>
              </w:rPr>
              <w:fldChar w:fldCharType="end"/>
            </w:r>
          </w:hyperlink>
        </w:p>
        <w:p w14:paraId="73444A41" w14:textId="236194E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28" w:history="1">
            <w:r w:rsidRPr="00E248EF">
              <w:rPr>
                <w:rStyle w:val="Collegamentoipertestuale"/>
                <w:rFonts w:cs="Tahoma"/>
                <w:noProof/>
              </w:rPr>
              <w:t>7.1.9 Dati previdenziali</w:t>
            </w:r>
            <w:r w:rsidRPr="00E248EF">
              <w:rPr>
                <w:noProof/>
                <w:webHidden/>
              </w:rPr>
              <w:tab/>
            </w:r>
            <w:r w:rsidRPr="00E248EF">
              <w:rPr>
                <w:noProof/>
                <w:webHidden/>
              </w:rPr>
              <w:fldChar w:fldCharType="begin"/>
            </w:r>
            <w:r w:rsidRPr="00E248EF">
              <w:rPr>
                <w:noProof/>
                <w:webHidden/>
              </w:rPr>
              <w:instrText xml:space="preserve"> PAGEREF _Toc124266328 \h </w:instrText>
            </w:r>
            <w:r w:rsidRPr="00E248EF">
              <w:rPr>
                <w:noProof/>
                <w:webHidden/>
              </w:rPr>
            </w:r>
            <w:r w:rsidRPr="00E248EF">
              <w:rPr>
                <w:noProof/>
                <w:webHidden/>
              </w:rPr>
              <w:fldChar w:fldCharType="separate"/>
            </w:r>
            <w:r w:rsidR="00C13356">
              <w:rPr>
                <w:noProof/>
                <w:webHidden/>
              </w:rPr>
              <w:t>97</w:t>
            </w:r>
            <w:r w:rsidRPr="00E248EF">
              <w:rPr>
                <w:noProof/>
                <w:webHidden/>
              </w:rPr>
              <w:fldChar w:fldCharType="end"/>
            </w:r>
          </w:hyperlink>
        </w:p>
        <w:p w14:paraId="1DE19986" w14:textId="5CD56012"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29" w:history="1">
            <w:r w:rsidRPr="00E248EF">
              <w:rPr>
                <w:rStyle w:val="Collegamentoipertestuale"/>
                <w:rFonts w:cs="Tahoma"/>
                <w:noProof/>
                <w:szCs w:val="20"/>
              </w:rPr>
              <w:t>7.2 Modello 770</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_Toc124266329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98</w:t>
            </w:r>
            <w:r w:rsidRPr="00E248EF">
              <w:rPr>
                <w:rFonts w:cs="Tahoma"/>
                <w:noProof/>
                <w:webHidden/>
                <w:szCs w:val="20"/>
              </w:rPr>
              <w:fldChar w:fldCharType="end"/>
            </w:r>
          </w:hyperlink>
        </w:p>
        <w:p w14:paraId="72CB7188" w14:textId="4CD7358B"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0" w:history="1">
            <w:r w:rsidRPr="00E248EF">
              <w:rPr>
                <w:rStyle w:val="Collegamentoipertestuale"/>
                <w:rFonts w:cs="Tahoma"/>
                <w:noProof/>
              </w:rPr>
              <w:t>7.2.1 Soggetti obbligati</w:t>
            </w:r>
            <w:r w:rsidRPr="00E248EF">
              <w:rPr>
                <w:noProof/>
                <w:webHidden/>
              </w:rPr>
              <w:tab/>
            </w:r>
            <w:r w:rsidRPr="00E248EF">
              <w:rPr>
                <w:noProof/>
                <w:webHidden/>
              </w:rPr>
              <w:fldChar w:fldCharType="begin"/>
            </w:r>
            <w:r w:rsidRPr="00E248EF">
              <w:rPr>
                <w:noProof/>
                <w:webHidden/>
              </w:rPr>
              <w:instrText xml:space="preserve"> PAGEREF _Toc124266330 \h </w:instrText>
            </w:r>
            <w:r w:rsidRPr="00E248EF">
              <w:rPr>
                <w:noProof/>
                <w:webHidden/>
              </w:rPr>
            </w:r>
            <w:r w:rsidRPr="00E248EF">
              <w:rPr>
                <w:noProof/>
                <w:webHidden/>
              </w:rPr>
              <w:fldChar w:fldCharType="separate"/>
            </w:r>
            <w:r w:rsidR="00C13356">
              <w:rPr>
                <w:noProof/>
                <w:webHidden/>
              </w:rPr>
              <w:t>99</w:t>
            </w:r>
            <w:r w:rsidRPr="00E248EF">
              <w:rPr>
                <w:noProof/>
                <w:webHidden/>
              </w:rPr>
              <w:fldChar w:fldCharType="end"/>
            </w:r>
          </w:hyperlink>
        </w:p>
        <w:p w14:paraId="01CF7608" w14:textId="39D6014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1" w:history="1">
            <w:r w:rsidRPr="00E248EF">
              <w:rPr>
                <w:rStyle w:val="Collegamentoipertestuale"/>
                <w:rFonts w:cs="Tahoma"/>
                <w:noProof/>
              </w:rPr>
              <w:t>7.2.2 Invio</w:t>
            </w:r>
            <w:r w:rsidRPr="00E248EF">
              <w:rPr>
                <w:noProof/>
                <w:webHidden/>
              </w:rPr>
              <w:tab/>
            </w:r>
            <w:r w:rsidRPr="00E248EF">
              <w:rPr>
                <w:noProof/>
                <w:webHidden/>
              </w:rPr>
              <w:fldChar w:fldCharType="begin"/>
            </w:r>
            <w:r w:rsidRPr="00E248EF">
              <w:rPr>
                <w:noProof/>
                <w:webHidden/>
              </w:rPr>
              <w:instrText xml:space="preserve"> PAGEREF _Toc124266331 \h </w:instrText>
            </w:r>
            <w:r w:rsidRPr="00E248EF">
              <w:rPr>
                <w:noProof/>
                <w:webHidden/>
              </w:rPr>
            </w:r>
            <w:r w:rsidRPr="00E248EF">
              <w:rPr>
                <w:noProof/>
                <w:webHidden/>
              </w:rPr>
              <w:fldChar w:fldCharType="separate"/>
            </w:r>
            <w:r w:rsidR="00C13356">
              <w:rPr>
                <w:noProof/>
                <w:webHidden/>
              </w:rPr>
              <w:t>100</w:t>
            </w:r>
            <w:r w:rsidRPr="00E248EF">
              <w:rPr>
                <w:noProof/>
                <w:webHidden/>
              </w:rPr>
              <w:fldChar w:fldCharType="end"/>
            </w:r>
          </w:hyperlink>
        </w:p>
        <w:p w14:paraId="0EEFBBB2" w14:textId="0EC41DD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2" w:history="1">
            <w:r w:rsidRPr="00E248EF">
              <w:rPr>
                <w:rStyle w:val="Collegamentoipertestuale"/>
                <w:rFonts w:cs="Tahoma"/>
                <w:noProof/>
              </w:rPr>
              <w:t>7.2.3 Composizione</w:t>
            </w:r>
            <w:r w:rsidRPr="00E248EF">
              <w:rPr>
                <w:noProof/>
                <w:webHidden/>
              </w:rPr>
              <w:tab/>
            </w:r>
            <w:r w:rsidRPr="00E248EF">
              <w:rPr>
                <w:noProof/>
                <w:webHidden/>
              </w:rPr>
              <w:fldChar w:fldCharType="begin"/>
            </w:r>
            <w:r w:rsidRPr="00E248EF">
              <w:rPr>
                <w:noProof/>
                <w:webHidden/>
              </w:rPr>
              <w:instrText xml:space="preserve"> PAGEREF _Toc124266332 \h </w:instrText>
            </w:r>
            <w:r w:rsidRPr="00E248EF">
              <w:rPr>
                <w:noProof/>
                <w:webHidden/>
              </w:rPr>
            </w:r>
            <w:r w:rsidRPr="00E248EF">
              <w:rPr>
                <w:noProof/>
                <w:webHidden/>
              </w:rPr>
              <w:fldChar w:fldCharType="separate"/>
            </w:r>
            <w:r w:rsidR="00C13356">
              <w:rPr>
                <w:noProof/>
                <w:webHidden/>
              </w:rPr>
              <w:t>100</w:t>
            </w:r>
            <w:r w:rsidRPr="00E248EF">
              <w:rPr>
                <w:noProof/>
                <w:webHidden/>
              </w:rPr>
              <w:fldChar w:fldCharType="end"/>
            </w:r>
          </w:hyperlink>
        </w:p>
        <w:p w14:paraId="1E004448" w14:textId="02734E30"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3" w:history="1">
            <w:r w:rsidRPr="00E248EF">
              <w:rPr>
                <w:rStyle w:val="Collegamentoipertestuale"/>
                <w:rFonts w:cs="Tahoma"/>
                <w:noProof/>
              </w:rPr>
              <w:t>7.2.4 Frontespizio</w:t>
            </w:r>
            <w:r w:rsidRPr="00E248EF">
              <w:rPr>
                <w:noProof/>
                <w:webHidden/>
              </w:rPr>
              <w:tab/>
            </w:r>
            <w:r w:rsidRPr="00E248EF">
              <w:rPr>
                <w:noProof/>
                <w:webHidden/>
              </w:rPr>
              <w:fldChar w:fldCharType="begin"/>
            </w:r>
            <w:r w:rsidRPr="00E248EF">
              <w:rPr>
                <w:noProof/>
                <w:webHidden/>
              </w:rPr>
              <w:instrText xml:space="preserve"> PAGEREF _Toc124266333 \h </w:instrText>
            </w:r>
            <w:r w:rsidRPr="00E248EF">
              <w:rPr>
                <w:noProof/>
                <w:webHidden/>
              </w:rPr>
            </w:r>
            <w:r w:rsidRPr="00E248EF">
              <w:rPr>
                <w:noProof/>
                <w:webHidden/>
              </w:rPr>
              <w:fldChar w:fldCharType="separate"/>
            </w:r>
            <w:r w:rsidR="00C13356">
              <w:rPr>
                <w:noProof/>
                <w:webHidden/>
              </w:rPr>
              <w:t>101</w:t>
            </w:r>
            <w:r w:rsidRPr="00E248EF">
              <w:rPr>
                <w:noProof/>
                <w:webHidden/>
              </w:rPr>
              <w:fldChar w:fldCharType="end"/>
            </w:r>
          </w:hyperlink>
        </w:p>
        <w:p w14:paraId="0B483382" w14:textId="22F0053D"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4" w:history="1">
            <w:r w:rsidRPr="00E248EF">
              <w:rPr>
                <w:rStyle w:val="Collegamentoipertestuale"/>
                <w:rFonts w:cs="Tahoma"/>
                <w:noProof/>
              </w:rPr>
              <w:t>7.2.5 Quadro ST</w:t>
            </w:r>
            <w:r w:rsidRPr="00E248EF">
              <w:rPr>
                <w:noProof/>
                <w:webHidden/>
              </w:rPr>
              <w:tab/>
            </w:r>
            <w:r w:rsidRPr="00E248EF">
              <w:rPr>
                <w:noProof/>
                <w:webHidden/>
              </w:rPr>
              <w:fldChar w:fldCharType="begin"/>
            </w:r>
            <w:r w:rsidRPr="00E248EF">
              <w:rPr>
                <w:noProof/>
                <w:webHidden/>
              </w:rPr>
              <w:instrText xml:space="preserve"> PAGEREF _Toc124266334 \h </w:instrText>
            </w:r>
            <w:r w:rsidRPr="00E248EF">
              <w:rPr>
                <w:noProof/>
                <w:webHidden/>
              </w:rPr>
            </w:r>
            <w:r w:rsidRPr="00E248EF">
              <w:rPr>
                <w:noProof/>
                <w:webHidden/>
              </w:rPr>
              <w:fldChar w:fldCharType="separate"/>
            </w:r>
            <w:r w:rsidR="00C13356">
              <w:rPr>
                <w:noProof/>
                <w:webHidden/>
              </w:rPr>
              <w:t>101</w:t>
            </w:r>
            <w:r w:rsidRPr="00E248EF">
              <w:rPr>
                <w:noProof/>
                <w:webHidden/>
              </w:rPr>
              <w:fldChar w:fldCharType="end"/>
            </w:r>
          </w:hyperlink>
        </w:p>
        <w:p w14:paraId="6BECC24A" w14:textId="0F149084"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5" w:history="1">
            <w:r w:rsidRPr="00E248EF">
              <w:rPr>
                <w:rStyle w:val="Collegamentoipertestuale"/>
                <w:rFonts w:cs="Tahoma"/>
                <w:noProof/>
              </w:rPr>
              <w:t>7.2.6 Quadro SV</w:t>
            </w:r>
            <w:r w:rsidRPr="00E248EF">
              <w:rPr>
                <w:noProof/>
                <w:webHidden/>
              </w:rPr>
              <w:tab/>
            </w:r>
            <w:r w:rsidRPr="00E248EF">
              <w:rPr>
                <w:noProof/>
                <w:webHidden/>
              </w:rPr>
              <w:fldChar w:fldCharType="begin"/>
            </w:r>
            <w:r w:rsidRPr="00E248EF">
              <w:rPr>
                <w:noProof/>
                <w:webHidden/>
              </w:rPr>
              <w:instrText xml:space="preserve"> PAGEREF _Toc124266335 \h </w:instrText>
            </w:r>
            <w:r w:rsidRPr="00E248EF">
              <w:rPr>
                <w:noProof/>
                <w:webHidden/>
              </w:rPr>
            </w:r>
            <w:r w:rsidRPr="00E248EF">
              <w:rPr>
                <w:noProof/>
                <w:webHidden/>
              </w:rPr>
              <w:fldChar w:fldCharType="separate"/>
            </w:r>
            <w:r w:rsidR="00C13356">
              <w:rPr>
                <w:noProof/>
                <w:webHidden/>
              </w:rPr>
              <w:t>102</w:t>
            </w:r>
            <w:r w:rsidRPr="00E248EF">
              <w:rPr>
                <w:noProof/>
                <w:webHidden/>
              </w:rPr>
              <w:fldChar w:fldCharType="end"/>
            </w:r>
          </w:hyperlink>
        </w:p>
        <w:p w14:paraId="74E67655" w14:textId="3FF6F1B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6" w:history="1">
            <w:r w:rsidRPr="00E248EF">
              <w:rPr>
                <w:rStyle w:val="Collegamentoipertestuale"/>
                <w:rFonts w:cs="Tahoma"/>
                <w:noProof/>
              </w:rPr>
              <w:t>7.2.7 Quadro SX</w:t>
            </w:r>
            <w:r w:rsidRPr="00E248EF">
              <w:rPr>
                <w:noProof/>
                <w:webHidden/>
              </w:rPr>
              <w:tab/>
            </w:r>
            <w:r w:rsidRPr="00E248EF">
              <w:rPr>
                <w:noProof/>
                <w:webHidden/>
              </w:rPr>
              <w:fldChar w:fldCharType="begin"/>
            </w:r>
            <w:r w:rsidRPr="00E248EF">
              <w:rPr>
                <w:noProof/>
                <w:webHidden/>
              </w:rPr>
              <w:instrText xml:space="preserve"> PAGEREF _Toc124266336 \h </w:instrText>
            </w:r>
            <w:r w:rsidRPr="00E248EF">
              <w:rPr>
                <w:noProof/>
                <w:webHidden/>
              </w:rPr>
            </w:r>
            <w:r w:rsidRPr="00E248EF">
              <w:rPr>
                <w:noProof/>
                <w:webHidden/>
              </w:rPr>
              <w:fldChar w:fldCharType="separate"/>
            </w:r>
            <w:r w:rsidR="00C13356">
              <w:rPr>
                <w:noProof/>
                <w:webHidden/>
              </w:rPr>
              <w:t>102</w:t>
            </w:r>
            <w:r w:rsidRPr="00E248EF">
              <w:rPr>
                <w:noProof/>
                <w:webHidden/>
              </w:rPr>
              <w:fldChar w:fldCharType="end"/>
            </w:r>
          </w:hyperlink>
        </w:p>
        <w:p w14:paraId="485698FC" w14:textId="65A24EE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7" w:history="1">
            <w:r w:rsidRPr="00E248EF">
              <w:rPr>
                <w:rStyle w:val="Collegamentoipertestuale"/>
                <w:rFonts w:cs="Tahoma"/>
                <w:noProof/>
              </w:rPr>
              <w:t>7.2.8 Quadro SY</w:t>
            </w:r>
            <w:r w:rsidRPr="00E248EF">
              <w:rPr>
                <w:noProof/>
                <w:webHidden/>
              </w:rPr>
              <w:tab/>
            </w:r>
            <w:r w:rsidRPr="00E248EF">
              <w:rPr>
                <w:noProof/>
                <w:webHidden/>
              </w:rPr>
              <w:fldChar w:fldCharType="begin"/>
            </w:r>
            <w:r w:rsidRPr="00E248EF">
              <w:rPr>
                <w:noProof/>
                <w:webHidden/>
              </w:rPr>
              <w:instrText xml:space="preserve"> PAGEREF _Toc124266337 \h </w:instrText>
            </w:r>
            <w:r w:rsidRPr="00E248EF">
              <w:rPr>
                <w:noProof/>
                <w:webHidden/>
              </w:rPr>
            </w:r>
            <w:r w:rsidRPr="00E248EF">
              <w:rPr>
                <w:noProof/>
                <w:webHidden/>
              </w:rPr>
              <w:fldChar w:fldCharType="separate"/>
            </w:r>
            <w:r w:rsidR="00C13356">
              <w:rPr>
                <w:noProof/>
                <w:webHidden/>
              </w:rPr>
              <w:t>102</w:t>
            </w:r>
            <w:r w:rsidRPr="00E248EF">
              <w:rPr>
                <w:noProof/>
                <w:webHidden/>
              </w:rPr>
              <w:fldChar w:fldCharType="end"/>
            </w:r>
          </w:hyperlink>
        </w:p>
        <w:p w14:paraId="3D37C9FF" w14:textId="78EF6E61" w:rsidR="00E248EF" w:rsidRPr="00E248EF" w:rsidRDefault="00E248EF" w:rsidP="00E248EF">
          <w:pPr>
            <w:pStyle w:val="Sommario2"/>
            <w:tabs>
              <w:tab w:val="right" w:leader="dot" w:pos="9628"/>
            </w:tabs>
            <w:spacing w:before="60" w:after="60" w:line="326" w:lineRule="auto"/>
            <w:rPr>
              <w:rFonts w:eastAsiaTheme="minorEastAsia" w:cs="Tahoma"/>
              <w:noProof/>
              <w:szCs w:val="20"/>
              <w:lang w:eastAsia="it-IT"/>
            </w:rPr>
          </w:pPr>
          <w:hyperlink w:anchor="_Toc124266338" w:history="1">
            <w:r w:rsidRPr="00E248EF">
              <w:rPr>
                <w:rStyle w:val="Collegamentoipertestuale"/>
                <w:rFonts w:cs="Tahoma"/>
                <w:noProof/>
                <w:szCs w:val="20"/>
              </w:rPr>
              <w:t>7.3 Modello 730</w:t>
            </w:r>
            <w:r w:rsidRPr="00E248EF">
              <w:rPr>
                <w:rFonts w:cs="Tahoma"/>
                <w:noProof/>
                <w:webHidden/>
                <w:szCs w:val="20"/>
              </w:rPr>
              <w:tab/>
            </w:r>
            <w:r w:rsidRPr="00E248EF">
              <w:rPr>
                <w:rFonts w:cs="Tahoma"/>
                <w:noProof/>
                <w:webHidden/>
                <w:szCs w:val="20"/>
              </w:rPr>
              <w:fldChar w:fldCharType="begin"/>
            </w:r>
            <w:r w:rsidRPr="00E248EF">
              <w:rPr>
                <w:rFonts w:cs="Tahoma"/>
                <w:noProof/>
                <w:webHidden/>
                <w:szCs w:val="20"/>
              </w:rPr>
              <w:instrText xml:space="preserve"> PAGEREF _Toc124266338 \h </w:instrText>
            </w:r>
            <w:r w:rsidRPr="00E248EF">
              <w:rPr>
                <w:rFonts w:cs="Tahoma"/>
                <w:noProof/>
                <w:webHidden/>
                <w:szCs w:val="20"/>
              </w:rPr>
            </w:r>
            <w:r w:rsidRPr="00E248EF">
              <w:rPr>
                <w:rFonts w:cs="Tahoma"/>
                <w:noProof/>
                <w:webHidden/>
                <w:szCs w:val="20"/>
              </w:rPr>
              <w:fldChar w:fldCharType="separate"/>
            </w:r>
            <w:r w:rsidR="00C13356">
              <w:rPr>
                <w:rFonts w:cs="Tahoma"/>
                <w:noProof/>
                <w:webHidden/>
                <w:szCs w:val="20"/>
              </w:rPr>
              <w:t>103</w:t>
            </w:r>
            <w:r w:rsidRPr="00E248EF">
              <w:rPr>
                <w:rFonts w:cs="Tahoma"/>
                <w:noProof/>
                <w:webHidden/>
                <w:szCs w:val="20"/>
              </w:rPr>
              <w:fldChar w:fldCharType="end"/>
            </w:r>
          </w:hyperlink>
        </w:p>
        <w:p w14:paraId="204D1C4C" w14:textId="50DC4F82"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39" w:history="1">
            <w:r w:rsidRPr="00E248EF">
              <w:rPr>
                <w:rStyle w:val="Collegamentoipertestuale"/>
                <w:rFonts w:cs="Tahoma"/>
                <w:noProof/>
              </w:rPr>
              <w:t>7.3.1 Struttura del modello</w:t>
            </w:r>
            <w:r w:rsidRPr="00E248EF">
              <w:rPr>
                <w:noProof/>
                <w:webHidden/>
              </w:rPr>
              <w:tab/>
            </w:r>
            <w:r w:rsidRPr="00E248EF">
              <w:rPr>
                <w:noProof/>
                <w:webHidden/>
              </w:rPr>
              <w:fldChar w:fldCharType="begin"/>
            </w:r>
            <w:r w:rsidRPr="00E248EF">
              <w:rPr>
                <w:noProof/>
                <w:webHidden/>
              </w:rPr>
              <w:instrText xml:space="preserve"> PAGEREF _Toc124266339 \h </w:instrText>
            </w:r>
            <w:r w:rsidRPr="00E248EF">
              <w:rPr>
                <w:noProof/>
                <w:webHidden/>
              </w:rPr>
            </w:r>
            <w:r w:rsidRPr="00E248EF">
              <w:rPr>
                <w:noProof/>
                <w:webHidden/>
              </w:rPr>
              <w:fldChar w:fldCharType="separate"/>
            </w:r>
            <w:r w:rsidR="00C13356">
              <w:rPr>
                <w:noProof/>
                <w:webHidden/>
              </w:rPr>
              <w:t>104</w:t>
            </w:r>
            <w:r w:rsidRPr="00E248EF">
              <w:rPr>
                <w:noProof/>
                <w:webHidden/>
              </w:rPr>
              <w:fldChar w:fldCharType="end"/>
            </w:r>
          </w:hyperlink>
        </w:p>
        <w:p w14:paraId="49434F39" w14:textId="59798629"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40" w:history="1">
            <w:r w:rsidRPr="00E248EF">
              <w:rPr>
                <w:rStyle w:val="Collegamentoipertestuale"/>
                <w:rFonts w:cs="Tahoma"/>
                <w:noProof/>
              </w:rPr>
              <w:t>7.3.2 Conguaglio</w:t>
            </w:r>
            <w:r w:rsidRPr="00E248EF">
              <w:rPr>
                <w:noProof/>
                <w:webHidden/>
              </w:rPr>
              <w:tab/>
            </w:r>
            <w:r w:rsidRPr="00E248EF">
              <w:rPr>
                <w:noProof/>
                <w:webHidden/>
              </w:rPr>
              <w:fldChar w:fldCharType="begin"/>
            </w:r>
            <w:r w:rsidRPr="00E248EF">
              <w:rPr>
                <w:noProof/>
                <w:webHidden/>
              </w:rPr>
              <w:instrText xml:space="preserve"> PAGEREF _Toc124266340 \h </w:instrText>
            </w:r>
            <w:r w:rsidRPr="00E248EF">
              <w:rPr>
                <w:noProof/>
                <w:webHidden/>
              </w:rPr>
            </w:r>
            <w:r w:rsidRPr="00E248EF">
              <w:rPr>
                <w:noProof/>
                <w:webHidden/>
              </w:rPr>
              <w:fldChar w:fldCharType="separate"/>
            </w:r>
            <w:r w:rsidR="00C13356">
              <w:rPr>
                <w:noProof/>
                <w:webHidden/>
              </w:rPr>
              <w:t>105</w:t>
            </w:r>
            <w:r w:rsidRPr="00E248EF">
              <w:rPr>
                <w:noProof/>
                <w:webHidden/>
              </w:rPr>
              <w:fldChar w:fldCharType="end"/>
            </w:r>
          </w:hyperlink>
        </w:p>
        <w:p w14:paraId="36431FB7" w14:textId="38F56D9C"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41" w:history="1">
            <w:r w:rsidRPr="00E248EF">
              <w:rPr>
                <w:rStyle w:val="Collegamentoipertestuale"/>
                <w:rFonts w:cs="Tahoma"/>
                <w:noProof/>
              </w:rPr>
              <w:t>7.3.3 Quadro D</w:t>
            </w:r>
            <w:r w:rsidRPr="00E248EF">
              <w:rPr>
                <w:noProof/>
                <w:webHidden/>
              </w:rPr>
              <w:tab/>
            </w:r>
            <w:r w:rsidRPr="00E248EF">
              <w:rPr>
                <w:noProof/>
                <w:webHidden/>
              </w:rPr>
              <w:fldChar w:fldCharType="begin"/>
            </w:r>
            <w:r w:rsidRPr="00E248EF">
              <w:rPr>
                <w:noProof/>
                <w:webHidden/>
              </w:rPr>
              <w:instrText xml:space="preserve"> PAGEREF _Toc124266341 \h </w:instrText>
            </w:r>
            <w:r w:rsidRPr="00E248EF">
              <w:rPr>
                <w:noProof/>
                <w:webHidden/>
              </w:rPr>
            </w:r>
            <w:r w:rsidRPr="00E248EF">
              <w:rPr>
                <w:noProof/>
                <w:webHidden/>
              </w:rPr>
              <w:fldChar w:fldCharType="separate"/>
            </w:r>
            <w:r w:rsidR="00C13356">
              <w:rPr>
                <w:noProof/>
                <w:webHidden/>
              </w:rPr>
              <w:t>106</w:t>
            </w:r>
            <w:r w:rsidRPr="00E248EF">
              <w:rPr>
                <w:noProof/>
                <w:webHidden/>
              </w:rPr>
              <w:fldChar w:fldCharType="end"/>
            </w:r>
          </w:hyperlink>
        </w:p>
        <w:p w14:paraId="4824796F" w14:textId="15E2F0D3"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42" w:history="1">
            <w:r w:rsidRPr="00E248EF">
              <w:rPr>
                <w:rStyle w:val="Collegamentoipertestuale"/>
                <w:rFonts w:cs="Tahoma"/>
                <w:noProof/>
              </w:rPr>
              <w:t>7.3.4 Casi di esonero</w:t>
            </w:r>
            <w:r w:rsidRPr="00E248EF">
              <w:rPr>
                <w:noProof/>
                <w:webHidden/>
              </w:rPr>
              <w:tab/>
            </w:r>
            <w:r w:rsidRPr="00E248EF">
              <w:rPr>
                <w:noProof/>
                <w:webHidden/>
              </w:rPr>
              <w:fldChar w:fldCharType="begin"/>
            </w:r>
            <w:r w:rsidRPr="00E248EF">
              <w:rPr>
                <w:noProof/>
                <w:webHidden/>
              </w:rPr>
              <w:instrText xml:space="preserve"> PAGEREF _Toc124266342 \h </w:instrText>
            </w:r>
            <w:r w:rsidRPr="00E248EF">
              <w:rPr>
                <w:noProof/>
                <w:webHidden/>
              </w:rPr>
            </w:r>
            <w:r w:rsidRPr="00E248EF">
              <w:rPr>
                <w:noProof/>
                <w:webHidden/>
              </w:rPr>
              <w:fldChar w:fldCharType="separate"/>
            </w:r>
            <w:r w:rsidR="00C13356">
              <w:rPr>
                <w:noProof/>
                <w:webHidden/>
              </w:rPr>
              <w:t>107</w:t>
            </w:r>
            <w:r w:rsidRPr="00E248EF">
              <w:rPr>
                <w:noProof/>
                <w:webHidden/>
              </w:rPr>
              <w:fldChar w:fldCharType="end"/>
            </w:r>
          </w:hyperlink>
        </w:p>
        <w:p w14:paraId="3A537BE1" w14:textId="598D93F6" w:rsidR="00E248EF" w:rsidRPr="00E248EF" w:rsidRDefault="00E248EF" w:rsidP="00E248EF">
          <w:pPr>
            <w:pStyle w:val="Sommario3"/>
            <w:tabs>
              <w:tab w:val="right" w:leader="dot" w:pos="9628"/>
            </w:tabs>
            <w:spacing w:before="60" w:after="60" w:line="326" w:lineRule="auto"/>
            <w:rPr>
              <w:rFonts w:eastAsiaTheme="minorEastAsia"/>
              <w:i w:val="0"/>
              <w:noProof/>
              <w:lang w:eastAsia="it-IT"/>
            </w:rPr>
          </w:pPr>
          <w:hyperlink w:anchor="_Toc124266343" w:history="1">
            <w:r w:rsidRPr="00E248EF">
              <w:rPr>
                <w:rStyle w:val="Collegamentoipertestuale"/>
                <w:rFonts w:cs="Tahoma"/>
                <w:noProof/>
              </w:rPr>
              <w:t>7.3.5 Detrazione per altri redditi</w:t>
            </w:r>
            <w:r w:rsidRPr="00E248EF">
              <w:rPr>
                <w:noProof/>
                <w:webHidden/>
              </w:rPr>
              <w:tab/>
            </w:r>
            <w:r w:rsidRPr="00E248EF">
              <w:rPr>
                <w:noProof/>
                <w:webHidden/>
              </w:rPr>
              <w:fldChar w:fldCharType="begin"/>
            </w:r>
            <w:r w:rsidRPr="00E248EF">
              <w:rPr>
                <w:noProof/>
                <w:webHidden/>
              </w:rPr>
              <w:instrText xml:space="preserve"> PAGEREF _Toc124266343 \h </w:instrText>
            </w:r>
            <w:r w:rsidRPr="00E248EF">
              <w:rPr>
                <w:noProof/>
                <w:webHidden/>
              </w:rPr>
            </w:r>
            <w:r w:rsidRPr="00E248EF">
              <w:rPr>
                <w:noProof/>
                <w:webHidden/>
              </w:rPr>
              <w:fldChar w:fldCharType="separate"/>
            </w:r>
            <w:r w:rsidR="00C13356">
              <w:rPr>
                <w:noProof/>
                <w:webHidden/>
              </w:rPr>
              <w:t>108</w:t>
            </w:r>
            <w:r w:rsidRPr="00E248EF">
              <w:rPr>
                <w:noProof/>
                <w:webHidden/>
              </w:rPr>
              <w:fldChar w:fldCharType="end"/>
            </w:r>
          </w:hyperlink>
        </w:p>
        <w:p w14:paraId="749C7301" w14:textId="2FC43770" w:rsidR="00917C57" w:rsidRPr="00CC00D4" w:rsidRDefault="00917C57">
          <w:r w:rsidRPr="00CC00D4">
            <w:rPr>
              <w:b/>
              <w:bCs/>
              <w:noProof/>
            </w:rPr>
            <w:fldChar w:fldCharType="end"/>
          </w:r>
        </w:p>
      </w:sdtContent>
    </w:sdt>
    <w:p w14:paraId="07B92765" w14:textId="77777777" w:rsidR="00E248EF" w:rsidRDefault="00E248EF">
      <w:pPr>
        <w:suppressAutoHyphens w:val="0"/>
        <w:spacing w:after="0" w:line="240" w:lineRule="auto"/>
        <w:jc w:val="left"/>
        <w:sectPr w:rsidR="00E248EF">
          <w:headerReference w:type="default" r:id="rId14"/>
          <w:footerReference w:type="default" r:id="rId15"/>
          <w:headerReference w:type="first" r:id="rId16"/>
          <w:footerReference w:type="first" r:id="rId17"/>
          <w:pgSz w:w="11906" w:h="16838"/>
          <w:pgMar w:top="776" w:right="1134" w:bottom="777" w:left="1134" w:header="720" w:footer="720" w:gutter="0"/>
          <w:cols w:space="720"/>
          <w:titlePg/>
          <w:docGrid w:linePitch="272"/>
        </w:sectPr>
      </w:pPr>
    </w:p>
    <w:p w14:paraId="613E5050" w14:textId="37570ADE" w:rsidR="002558B3" w:rsidRPr="00CC00D4" w:rsidRDefault="002558B3" w:rsidP="00BA638F">
      <w:pPr>
        <w:pStyle w:val="Titolo1"/>
      </w:pPr>
      <w:bookmarkStart w:id="1" w:name="_Toc124266199"/>
      <w:r w:rsidRPr="00CC00D4">
        <w:lastRenderedPageBreak/>
        <w:t>P</w:t>
      </w:r>
      <w:r w:rsidR="00BA638F" w:rsidRPr="00CC00D4">
        <w:t>remessa</w:t>
      </w:r>
      <w:bookmarkEnd w:id="1"/>
    </w:p>
    <w:p w14:paraId="2E9BED6C" w14:textId="77777777" w:rsidR="00BA638F" w:rsidRPr="00CC00D4" w:rsidRDefault="00BA638F" w:rsidP="00BA638F"/>
    <w:p w14:paraId="2EF01257" w14:textId="77777777" w:rsidR="00BA638F" w:rsidRPr="00CC00D4" w:rsidRDefault="00BA638F" w:rsidP="00BA638F"/>
    <w:p w14:paraId="4AFC5FBB" w14:textId="77777777" w:rsidR="00BA638F" w:rsidRPr="00CC00D4" w:rsidRDefault="00BA638F" w:rsidP="00BA638F"/>
    <w:p w14:paraId="4EF177C0" w14:textId="77777777" w:rsidR="00BA638F" w:rsidRPr="00CC00D4" w:rsidRDefault="00BA638F" w:rsidP="00BA638F"/>
    <w:p w14:paraId="208BF364" w14:textId="77777777" w:rsidR="00BA638F" w:rsidRPr="00CC00D4" w:rsidRDefault="00BA638F" w:rsidP="00BA638F"/>
    <w:p w14:paraId="340519B9" w14:textId="77777777" w:rsidR="00BA638F" w:rsidRPr="00CC00D4" w:rsidRDefault="00BA638F" w:rsidP="00BA638F"/>
    <w:p w14:paraId="42B8923E" w14:textId="1280932B" w:rsidR="002558B3" w:rsidRPr="00CC00D4" w:rsidRDefault="002558B3" w:rsidP="00BA638F">
      <w:r w:rsidRPr="00CC00D4">
        <w:t xml:space="preserve">Disciplinato dall’articolo 2222 del </w:t>
      </w:r>
      <w:r w:rsidR="0029709E" w:rsidRPr="00CC00D4">
        <w:t>Codice civile</w:t>
      </w:r>
      <w:r w:rsidRPr="00CC00D4">
        <w:t xml:space="preserve"> il lavoro autonomo occasionale è, per una serie di ragioni, una tipologia di rapporto da trattare con cautela.</w:t>
      </w:r>
    </w:p>
    <w:p w14:paraId="3DCF2BAA" w14:textId="57E4EEE4" w:rsidR="002558B3" w:rsidRPr="00CC00D4" w:rsidRDefault="0029709E"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In primo luogo,</w:t>
      </w:r>
      <w:r w:rsidR="002558B3" w:rsidRPr="00CC00D4">
        <w:rPr>
          <w:rFonts w:ascii="Tahoma" w:hAnsi="Tahoma" w:cs="Tahoma"/>
          <w:bCs/>
          <w:iCs/>
          <w:kern w:val="0"/>
          <w:sz w:val="20"/>
          <w:szCs w:val="20"/>
        </w:rPr>
        <w:t xml:space="preserve"> per le caratteristiche stesse dell’incarico che, per essere genuino, richiede la mancanza di qualsiasi professionalità e prevalenza, pena l’applicazione delle norme sul lavoro autonomo in senso stretto, prima fra tutte l’Imposta sul Valore Aggiunto (IVA).</w:t>
      </w:r>
    </w:p>
    <w:p w14:paraId="4FCAFC1D" w14:textId="6824D782"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 xml:space="preserve">La difficoltà nel determinare dove finisce “l’occasionalità” è stata in parte colmata dalla normativa previdenziale e tributaria, grazie alla quale sono state previste regole particolari per i rapporti ex articolo 2222 </w:t>
      </w:r>
      <w:r w:rsidR="004131B3" w:rsidRPr="00CC00D4">
        <w:rPr>
          <w:rFonts w:ascii="Tahoma" w:hAnsi="Tahoma" w:cs="Tahoma"/>
          <w:bCs/>
          <w:iCs/>
          <w:kern w:val="0"/>
          <w:sz w:val="20"/>
          <w:szCs w:val="20"/>
        </w:rPr>
        <w:t>Codice civile</w:t>
      </w:r>
      <w:r w:rsidRPr="00CC00D4">
        <w:rPr>
          <w:rFonts w:ascii="Tahoma" w:hAnsi="Tahoma" w:cs="Tahoma"/>
          <w:bCs/>
          <w:iCs/>
          <w:kern w:val="0"/>
          <w:sz w:val="20"/>
          <w:szCs w:val="20"/>
        </w:rPr>
        <w:t>. A partire dall’obbligo di contribuzione alla Gestione Separata INPS</w:t>
      </w:r>
      <w:r w:rsidR="00F32F1F" w:rsidRPr="00CC00D4">
        <w:rPr>
          <w:rFonts w:ascii="Tahoma" w:hAnsi="Tahoma" w:cs="Tahoma"/>
          <w:bCs/>
          <w:iCs/>
          <w:kern w:val="0"/>
          <w:sz w:val="20"/>
          <w:szCs w:val="20"/>
        </w:rPr>
        <w:t>,</w:t>
      </w:r>
      <w:r w:rsidRPr="00CC00D4">
        <w:rPr>
          <w:rFonts w:ascii="Tahoma" w:hAnsi="Tahoma" w:cs="Tahoma"/>
          <w:bCs/>
          <w:iCs/>
          <w:kern w:val="0"/>
          <w:sz w:val="20"/>
          <w:szCs w:val="20"/>
        </w:rPr>
        <w:t xml:space="preserve"> al superamento di un determinato limite di reddito sino alla qualificazione (ai fini fiscali) dei compensi percepiti dal lavoratore in una categoria differente rispetto a quelli riconosciuti a parasubordinati, dipendenti e autonomi e professionisti.</w:t>
      </w:r>
    </w:p>
    <w:p w14:paraId="3936B8D5" w14:textId="6BABFE6C"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 xml:space="preserve">Al di là delle distinzioni operate dalla legge e dalla giurisprudenza di Cassazione, non solo rispetto al lavoro autonomo in senso stretto ma con riguardo anche ai rapporti di collaborazione coordinata e continuativa e all’area della subordinazione, resta sullo sfondo il rischio di una reiterazione di incarichi solo formalmente di lavoro autonomo occasionale, </w:t>
      </w:r>
      <w:r w:rsidR="00347AC8" w:rsidRPr="00CC00D4">
        <w:rPr>
          <w:rFonts w:ascii="Tahoma" w:hAnsi="Tahoma" w:cs="Tahoma"/>
          <w:bCs/>
          <w:iCs/>
          <w:kern w:val="0"/>
          <w:sz w:val="20"/>
          <w:szCs w:val="20"/>
        </w:rPr>
        <w:t>introdotti</w:t>
      </w:r>
      <w:r w:rsidRPr="00CC00D4">
        <w:rPr>
          <w:rFonts w:ascii="Tahoma" w:hAnsi="Tahoma" w:cs="Tahoma"/>
          <w:bCs/>
          <w:iCs/>
          <w:kern w:val="0"/>
          <w:sz w:val="20"/>
          <w:szCs w:val="20"/>
        </w:rPr>
        <w:t xml:space="preserve"> con lo scopo di nascondere attività (di fatto) di lavoro subordinato.</w:t>
      </w:r>
    </w:p>
    <w:p w14:paraId="035D84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Questo ci porta al secondo elemento di attenzione rappresentato dal fatto che il lavoro autonomo occasionale, a differenza dei più noti e diffusi contratti di lavoro dipendente o di collaborazione coordinata e continuativa, a causa dell’assenza di una serie di obblighi, quali la comunicazione preventiva di assunzione, la stampa del Libro Unico del Lavoro e la consegna del cedolino paga (sulla cui applicazione non si lascia spazio alla discrezionalità delle parti) attribuisce particolare importanza al comportamento e alla serietà di committente e incaricato, di porre in essere un rapporto di lavoro autonomo occasionale genuino.</w:t>
      </w:r>
    </w:p>
    <w:p w14:paraId="35A24A5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Il legislatore non ha tuttavia lasciato il rapporto occasionale completamente privo di tutele. Qui, arrivando al terzo aspetto meritevole di attenzione, possiamo citare la riforma del cosiddetto “</w:t>
      </w:r>
      <w:r w:rsidRPr="00CC00D4">
        <w:rPr>
          <w:rFonts w:ascii="Tahoma" w:hAnsi="Tahoma" w:cs="Tahoma"/>
          <w:bCs/>
          <w:i/>
          <w:kern w:val="0"/>
          <w:sz w:val="20"/>
          <w:szCs w:val="20"/>
        </w:rPr>
        <w:t xml:space="preserve">Jobs Act </w:t>
      </w:r>
      <w:r w:rsidRPr="00CC00D4">
        <w:rPr>
          <w:rFonts w:ascii="Tahoma" w:hAnsi="Tahoma" w:cs="Tahoma"/>
          <w:bCs/>
          <w:iCs/>
          <w:kern w:val="0"/>
          <w:sz w:val="20"/>
          <w:szCs w:val="20"/>
        </w:rPr>
        <w:t xml:space="preserve">autonomi” (articoli </w:t>
      </w:r>
      <w:r w:rsidRPr="00CC00D4">
        <w:rPr>
          <w:rFonts w:ascii="Tahoma" w:hAnsi="Tahoma" w:cs="Tahoma"/>
          <w:bCs/>
          <w:iCs/>
          <w:kern w:val="0"/>
          <w:sz w:val="20"/>
          <w:szCs w:val="20"/>
        </w:rPr>
        <w:lastRenderedPageBreak/>
        <w:t xml:space="preserve">1 – 17 della Legge n. 81/2017), le prestazioni garantite dalla Gestione Separata INPS rappresentate da Assegno per il nucleo familiare, malattia e maternità, sino ad arrivare alla recente </w:t>
      </w:r>
      <w:r w:rsidRPr="00CC00D4">
        <w:rPr>
          <w:rFonts w:ascii="Tahoma" w:hAnsi="Tahoma" w:cs="Tahoma"/>
          <w:b/>
          <w:iCs/>
          <w:kern w:val="0"/>
          <w:sz w:val="20"/>
          <w:szCs w:val="20"/>
        </w:rPr>
        <w:t xml:space="preserve">novità del cosiddetto Decreto “Fiscale” di comunicare l’attività resa dai lavoratori autonomi occasionali alla stregua di quanto avviene per i contratti di lavoro intermittente o </w:t>
      </w:r>
      <w:r w:rsidRPr="00CC00D4">
        <w:rPr>
          <w:rFonts w:ascii="Tahoma" w:hAnsi="Tahoma" w:cs="Tahoma"/>
          <w:b/>
          <w:i/>
          <w:kern w:val="0"/>
          <w:sz w:val="20"/>
          <w:szCs w:val="20"/>
        </w:rPr>
        <w:t>job on call</w:t>
      </w:r>
      <w:r w:rsidRPr="00CC00D4">
        <w:rPr>
          <w:rFonts w:ascii="Tahoma" w:hAnsi="Tahoma" w:cs="Tahoma"/>
          <w:bCs/>
          <w:iCs/>
          <w:kern w:val="0"/>
          <w:sz w:val="20"/>
          <w:szCs w:val="20"/>
        </w:rPr>
        <w:t>. Una previsione, quella appena citata, che mira a contrastare le forme di lavoro sommerso, individuate come possibile terreno fertile per l’inosservanza e la mancata adozione di misure di sicurezza volte a tutelare la salute e la sicurezza dei lavoratori.</w:t>
      </w:r>
    </w:p>
    <w:p w14:paraId="2E0AC479" w14:textId="404C634E" w:rsidR="002558B3" w:rsidRPr="00CC00D4" w:rsidRDefault="002558B3" w:rsidP="002558B3">
      <w:pPr>
        <w:pStyle w:val="Standard"/>
        <w:spacing w:after="200" w:line="360" w:lineRule="auto"/>
        <w:jc w:val="both"/>
        <w:rPr>
          <w:rFonts w:ascii="Tahoma" w:hAnsi="Tahoma" w:cs="Tahoma"/>
          <w:bCs/>
          <w:iCs/>
          <w:kern w:val="0"/>
          <w:sz w:val="20"/>
          <w:szCs w:val="20"/>
        </w:rPr>
      </w:pPr>
      <w:r w:rsidRPr="00CC00D4">
        <w:rPr>
          <w:rFonts w:ascii="Tahoma" w:hAnsi="Tahoma" w:cs="Tahoma"/>
          <w:bCs/>
          <w:iCs/>
          <w:kern w:val="0"/>
          <w:sz w:val="20"/>
          <w:szCs w:val="20"/>
        </w:rPr>
        <w:t>Nel presente lavoro affronteremo tutti gli aspetti critici del ricorso al lavoro autonomo occasionale, fornendo altresì soluzioni pratiche e indicazioni sui modelli dichiarativi e le comunicazioni che i committenti sono tenuti ad inviare all’INPS e all’Amministrazione Finanziaria.</w:t>
      </w:r>
    </w:p>
    <w:p w14:paraId="4D8A7ABB" w14:textId="7B8329F9" w:rsidR="00347AC8" w:rsidRPr="00CC00D4" w:rsidRDefault="00347AC8" w:rsidP="002558B3">
      <w:pPr>
        <w:pStyle w:val="Standard"/>
        <w:spacing w:after="200" w:line="360" w:lineRule="auto"/>
        <w:jc w:val="both"/>
        <w:rPr>
          <w:rFonts w:ascii="Tahoma" w:hAnsi="Tahoma" w:cs="Tahoma"/>
          <w:bCs/>
          <w:iCs/>
          <w:kern w:val="0"/>
          <w:sz w:val="20"/>
          <w:szCs w:val="20"/>
        </w:rPr>
      </w:pPr>
      <w:commentRangeStart w:id="2"/>
      <w:r w:rsidRPr="00CC00D4">
        <w:rPr>
          <w:rFonts w:ascii="Tahoma" w:hAnsi="Tahoma" w:cs="Tahoma"/>
          <w:bCs/>
          <w:iCs/>
          <w:kern w:val="0"/>
          <w:sz w:val="20"/>
          <w:szCs w:val="20"/>
        </w:rPr>
        <w:t xml:space="preserve">Nel corso del 2022 poi, quando ormai le novità del Decreto “Fiscale” erano state chiarite nei loro aspetti pratici ed operativi, grazie ai documenti pubblicati dall’Ispettorato nazionale del lavoro, il legislatore è intervenuto ritoccando la disciplina sul congedo parentale per gli iscritti alla Gestione separata, compresi i lavoratori autonomi occasionali che superano il tetto dei compensi di 5 mila euro. </w:t>
      </w:r>
    </w:p>
    <w:p w14:paraId="71EE2373" w14:textId="544CE1FC" w:rsidR="002E1595" w:rsidRPr="00CC00D4" w:rsidRDefault="002E1595" w:rsidP="002558B3">
      <w:pPr>
        <w:pStyle w:val="Standard"/>
        <w:spacing w:after="200" w:line="360" w:lineRule="auto"/>
        <w:jc w:val="both"/>
        <w:rPr>
          <w:rFonts w:ascii="Tahoma" w:hAnsi="Tahoma" w:cs="Tahoma"/>
          <w:bCs/>
          <w:iCs/>
          <w:kern w:val="0"/>
          <w:sz w:val="20"/>
          <w:szCs w:val="20"/>
        </w:rPr>
      </w:pPr>
      <w:r w:rsidRPr="00CC00D4">
        <w:rPr>
          <w:rFonts w:ascii="Tahoma" w:hAnsi="Tahoma" w:cs="Tahoma"/>
          <w:bCs/>
          <w:iCs/>
          <w:kern w:val="0"/>
          <w:sz w:val="20"/>
          <w:szCs w:val="20"/>
        </w:rPr>
        <w:t xml:space="preserve">Sempre in tema di prestazioni Inps, potenzialmente destinate anche agli autonomi, il 2022 ha visto il tramonto di gran parte della normativa sugli Assegni nucleo familiare (ANF), alla luce dell’entrata in vigore dell’Assegno unico e universale per i nuclei familiari con figli a carico, a decorrere dal 1° marzo scorso. </w:t>
      </w:r>
    </w:p>
    <w:p w14:paraId="70CAE474" w14:textId="34188C71" w:rsidR="00347AC8" w:rsidRPr="00CC00D4" w:rsidRDefault="00347AC8" w:rsidP="002558B3">
      <w:pPr>
        <w:pStyle w:val="Standard"/>
        <w:spacing w:after="200" w:line="360" w:lineRule="auto"/>
        <w:jc w:val="both"/>
        <w:rPr>
          <w:rFonts w:ascii="Tahoma" w:hAnsi="Tahoma" w:cs="Tahoma"/>
          <w:bCs/>
          <w:iCs/>
          <w:kern w:val="0"/>
          <w:sz w:val="20"/>
          <w:szCs w:val="20"/>
        </w:rPr>
      </w:pPr>
      <w:r w:rsidRPr="00CC00D4">
        <w:rPr>
          <w:rFonts w:ascii="Tahoma" w:hAnsi="Tahoma" w:cs="Tahoma"/>
          <w:bCs/>
          <w:iCs/>
          <w:kern w:val="0"/>
          <w:sz w:val="20"/>
          <w:szCs w:val="20"/>
        </w:rPr>
        <w:t>A dicembre, la consueta Manovra di bilancio (relativ</w:t>
      </w:r>
      <w:r w:rsidR="002E1595" w:rsidRPr="00CC00D4">
        <w:rPr>
          <w:rFonts w:ascii="Tahoma" w:hAnsi="Tahoma" w:cs="Tahoma"/>
          <w:bCs/>
          <w:iCs/>
          <w:kern w:val="0"/>
          <w:sz w:val="20"/>
          <w:szCs w:val="20"/>
        </w:rPr>
        <w:t>a</w:t>
      </w:r>
      <w:r w:rsidRPr="00CC00D4">
        <w:rPr>
          <w:rFonts w:ascii="Tahoma" w:hAnsi="Tahoma" w:cs="Tahoma"/>
          <w:bCs/>
          <w:iCs/>
          <w:kern w:val="0"/>
          <w:sz w:val="20"/>
          <w:szCs w:val="20"/>
        </w:rPr>
        <w:t xml:space="preserve"> all’anno 2023)</w:t>
      </w:r>
      <w:r w:rsidR="002E1595" w:rsidRPr="00CC00D4">
        <w:rPr>
          <w:rFonts w:ascii="Tahoma" w:hAnsi="Tahoma" w:cs="Tahoma"/>
          <w:bCs/>
          <w:iCs/>
          <w:kern w:val="0"/>
          <w:sz w:val="20"/>
          <w:szCs w:val="20"/>
        </w:rPr>
        <w:t xml:space="preserve"> ha rivoluzionato la disciplina in materia di prestazioni di lavoro occasionali (cosiddetti “ex voucher”) in particolare per quanto riguarda il loro utilizzo nel settore agricolo. </w:t>
      </w:r>
    </w:p>
    <w:p w14:paraId="2CD0875F" w14:textId="00E49A10" w:rsidR="002E1595" w:rsidRPr="00CC00D4" w:rsidRDefault="002E1595" w:rsidP="002558B3">
      <w:pPr>
        <w:pStyle w:val="Standard"/>
        <w:spacing w:after="200" w:line="360" w:lineRule="auto"/>
        <w:jc w:val="both"/>
        <w:rPr>
          <w:rFonts w:ascii="Tahoma" w:hAnsi="Tahoma" w:cs="Tahoma"/>
          <w:kern w:val="0"/>
          <w:sz w:val="20"/>
          <w:szCs w:val="20"/>
        </w:rPr>
      </w:pPr>
      <w:r w:rsidRPr="00CC00D4">
        <w:rPr>
          <w:rFonts w:ascii="Tahoma" w:hAnsi="Tahoma" w:cs="Tahoma"/>
          <w:bCs/>
          <w:iCs/>
          <w:kern w:val="0"/>
          <w:sz w:val="20"/>
          <w:szCs w:val="20"/>
        </w:rPr>
        <w:t xml:space="preserve">Un tema, quest’ultimo, che merita la massima attenzione soprattutto per i distinguo che si rendono necessari rispetto al lavoro autonomo occasionale. </w:t>
      </w:r>
      <w:commentRangeEnd w:id="2"/>
      <w:r w:rsidRPr="00CC00D4">
        <w:rPr>
          <w:rStyle w:val="Rimandocommento"/>
          <w:rFonts w:ascii="Calibri" w:hAnsi="Calibri" w:cs="F"/>
          <w:color w:val="auto"/>
          <w:kern w:val="3"/>
          <w:lang w:eastAsia="it-IT" w:bidi="ar-SA"/>
        </w:rPr>
        <w:commentReference w:id="2"/>
      </w:r>
    </w:p>
    <w:p w14:paraId="6E2019C4" w14:textId="77777777" w:rsidR="002558B3" w:rsidRPr="00CC00D4" w:rsidRDefault="002558B3" w:rsidP="002558B3">
      <w:pPr>
        <w:pStyle w:val="Standard"/>
        <w:spacing w:after="200" w:line="360" w:lineRule="auto"/>
        <w:jc w:val="both"/>
        <w:rPr>
          <w:rFonts w:ascii="Tahoma" w:hAnsi="Tahoma" w:cs="Tahoma"/>
          <w:kern w:val="0"/>
          <w:sz w:val="20"/>
          <w:szCs w:val="20"/>
        </w:rPr>
      </w:pPr>
    </w:p>
    <w:p w14:paraId="60895CCD" w14:textId="77777777" w:rsidR="002558B3" w:rsidRPr="00CC00D4" w:rsidRDefault="002558B3" w:rsidP="002558B3">
      <w:pPr>
        <w:pStyle w:val="Standard"/>
        <w:spacing w:after="200" w:line="360" w:lineRule="auto"/>
        <w:jc w:val="both"/>
        <w:rPr>
          <w:rFonts w:ascii="Tahoma" w:hAnsi="Tahoma" w:cs="Tahoma"/>
          <w:kern w:val="0"/>
          <w:sz w:val="20"/>
          <w:szCs w:val="20"/>
        </w:rPr>
      </w:pPr>
    </w:p>
    <w:p w14:paraId="10BA1432" w14:textId="77777777" w:rsidR="002558B3" w:rsidRPr="00CC00D4" w:rsidRDefault="002558B3" w:rsidP="002558B3">
      <w:pPr>
        <w:pStyle w:val="Standard"/>
        <w:spacing w:after="200" w:line="360" w:lineRule="auto"/>
        <w:jc w:val="both"/>
        <w:rPr>
          <w:rFonts w:ascii="Tahoma" w:hAnsi="Tahoma" w:cs="Tahoma"/>
          <w:kern w:val="0"/>
          <w:sz w:val="20"/>
          <w:szCs w:val="20"/>
        </w:rPr>
      </w:pPr>
    </w:p>
    <w:p w14:paraId="455D51B4" w14:textId="77777777" w:rsidR="002558B3" w:rsidRPr="00CC00D4" w:rsidRDefault="002558B3" w:rsidP="002558B3">
      <w:pPr>
        <w:pStyle w:val="Standard"/>
        <w:spacing w:after="200" w:line="360" w:lineRule="auto"/>
        <w:jc w:val="both"/>
        <w:rPr>
          <w:rFonts w:ascii="Tahoma" w:hAnsi="Tahoma" w:cs="Tahoma"/>
          <w:b/>
          <w:i/>
          <w:kern w:val="0"/>
          <w:sz w:val="20"/>
          <w:szCs w:val="20"/>
        </w:rPr>
      </w:pPr>
    </w:p>
    <w:p w14:paraId="28143C8F" w14:textId="77777777" w:rsidR="00BA638F" w:rsidRPr="00CC00D4" w:rsidRDefault="00BA638F" w:rsidP="00BA638F">
      <w:pPr>
        <w:pStyle w:val="Titolo1"/>
        <w:sectPr w:rsidR="00BA638F" w:rsidRPr="00CC00D4">
          <w:pgSz w:w="11906" w:h="16838"/>
          <w:pgMar w:top="776" w:right="1134" w:bottom="777" w:left="1134" w:header="720" w:footer="720" w:gutter="0"/>
          <w:cols w:space="720"/>
          <w:titlePg/>
          <w:docGrid w:linePitch="272"/>
        </w:sectPr>
      </w:pPr>
      <w:bookmarkStart w:id="3" w:name="__RefHeading__4348_1479815270"/>
      <w:bookmarkStart w:id="4" w:name="_Toc92386440"/>
    </w:p>
    <w:p w14:paraId="2B640F72" w14:textId="77777777" w:rsidR="00BA638F" w:rsidRPr="00CC00D4" w:rsidRDefault="002558B3" w:rsidP="00BA638F">
      <w:pPr>
        <w:pStyle w:val="Titolo1"/>
      </w:pPr>
      <w:bookmarkStart w:id="5" w:name="_Toc124266200"/>
      <w:r w:rsidRPr="00CC00D4">
        <w:lastRenderedPageBreak/>
        <w:t>1.</w:t>
      </w:r>
      <w:bookmarkEnd w:id="5"/>
    </w:p>
    <w:bookmarkStart w:id="6" w:name="_Toc124266201"/>
    <w:p w14:paraId="38B1458E" w14:textId="0EEE23E4" w:rsidR="002558B3" w:rsidRPr="00CC00D4" w:rsidRDefault="00985370" w:rsidP="00BA638F">
      <w:pPr>
        <w:pStyle w:val="Titolo1"/>
      </w:pPr>
      <w:r w:rsidRPr="00CC00D4">
        <w:rPr>
          <w:noProof/>
          <w:lang w:eastAsia="it-IT"/>
        </w:rPr>
        <mc:AlternateContent>
          <mc:Choice Requires="wps">
            <w:drawing>
              <wp:anchor distT="0" distB="0" distL="114300" distR="114300" simplePos="0" relativeHeight="251655168" behindDoc="0" locked="0" layoutInCell="1" allowOverlap="1" wp14:anchorId="5EE4E6DA" wp14:editId="0E792D1D">
                <wp:simplePos x="0" y="0"/>
                <wp:positionH relativeFrom="column">
                  <wp:posOffset>1874520</wp:posOffset>
                </wp:positionH>
                <wp:positionV relativeFrom="paragraph">
                  <wp:posOffset>106045</wp:posOffset>
                </wp:positionV>
                <wp:extent cx="2443480" cy="6350"/>
                <wp:effectExtent l="13335" t="17145" r="10160" b="14605"/>
                <wp:wrapNone/>
                <wp:docPr id="1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2CF054" id="_x0000_t32" coordsize="21600,21600" o:spt="32" o:oned="t" path="m,l21600,21600e" filled="f">
                <v:path arrowok="t" fillok="f" o:connecttype="none"/>
                <o:lock v:ext="edit" shapetype="t"/>
              </v:shapetype>
              <v:shape id="AutoShape 120" o:spid="_x0000_s1026" type="#_x0000_t32" style="position:absolute;margin-left:147.6pt;margin-top:8.35pt;width:192.4pt;height:.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" strokecolor="#404040" strokeweight=".53mm">
                <v:stroke joinstyle="miter" endcap="square"/>
              </v:shape>
            </w:pict>
          </mc:Fallback>
        </mc:AlternateContent>
      </w:r>
      <w:r w:rsidR="002558B3" w:rsidRPr="00CC00D4">
        <w:t>Il lavoro autonomo occasionale</w:t>
      </w:r>
      <w:bookmarkEnd w:id="3"/>
      <w:bookmarkEnd w:id="4"/>
      <w:bookmarkEnd w:id="6"/>
    </w:p>
    <w:p w14:paraId="03C63AD2"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p>
    <w:p w14:paraId="66CB42C8" w14:textId="77777777" w:rsidR="00BA638F" w:rsidRPr="00CC00D4" w:rsidRDefault="00BA638F" w:rsidP="002558B3">
      <w:pPr>
        <w:pStyle w:val="Standard"/>
        <w:spacing w:after="200" w:line="360" w:lineRule="auto"/>
        <w:jc w:val="both"/>
        <w:rPr>
          <w:rFonts w:ascii="Tahoma" w:hAnsi="Tahoma" w:cs="Tahoma"/>
          <w:i/>
          <w:kern w:val="0"/>
          <w:sz w:val="20"/>
          <w:szCs w:val="20"/>
          <w:u w:val="single"/>
        </w:rPr>
      </w:pPr>
    </w:p>
    <w:p w14:paraId="1ECDF136" w14:textId="77777777" w:rsidR="00BA638F" w:rsidRPr="00CC00D4" w:rsidRDefault="00BA638F" w:rsidP="002558B3">
      <w:pPr>
        <w:pStyle w:val="Standard"/>
        <w:spacing w:after="200" w:line="360" w:lineRule="auto"/>
        <w:jc w:val="both"/>
        <w:rPr>
          <w:rFonts w:ascii="Tahoma" w:hAnsi="Tahoma" w:cs="Tahoma"/>
          <w:i/>
          <w:kern w:val="0"/>
          <w:sz w:val="20"/>
          <w:szCs w:val="20"/>
          <w:u w:val="single"/>
        </w:rPr>
      </w:pPr>
    </w:p>
    <w:p w14:paraId="5DAB7670" w14:textId="77777777" w:rsidR="00BA638F" w:rsidRPr="00CC00D4" w:rsidRDefault="00BA638F" w:rsidP="002558B3">
      <w:pPr>
        <w:pStyle w:val="Standard"/>
        <w:spacing w:after="200" w:line="360" w:lineRule="auto"/>
        <w:jc w:val="both"/>
        <w:rPr>
          <w:rFonts w:ascii="Tahoma" w:hAnsi="Tahoma" w:cs="Tahoma"/>
          <w:i/>
          <w:kern w:val="0"/>
          <w:sz w:val="20"/>
          <w:szCs w:val="20"/>
          <w:u w:val="single"/>
        </w:rPr>
      </w:pPr>
    </w:p>
    <w:p w14:paraId="15EB8E04" w14:textId="77777777" w:rsidR="00BA638F" w:rsidRPr="00CC00D4" w:rsidRDefault="00BA638F" w:rsidP="002558B3">
      <w:pPr>
        <w:pStyle w:val="Standard"/>
        <w:spacing w:after="200" w:line="360" w:lineRule="auto"/>
        <w:jc w:val="both"/>
        <w:rPr>
          <w:rFonts w:ascii="Tahoma" w:hAnsi="Tahoma" w:cs="Tahoma"/>
          <w:i/>
          <w:kern w:val="0"/>
          <w:sz w:val="20"/>
          <w:szCs w:val="20"/>
          <w:u w:val="single"/>
        </w:rPr>
      </w:pPr>
    </w:p>
    <w:p w14:paraId="08B3F571" w14:textId="77777777" w:rsidR="00BA638F" w:rsidRPr="00CC00D4" w:rsidRDefault="00BA638F" w:rsidP="002558B3">
      <w:pPr>
        <w:pStyle w:val="Standard"/>
        <w:spacing w:after="200" w:line="360" w:lineRule="auto"/>
        <w:jc w:val="both"/>
        <w:rPr>
          <w:rFonts w:ascii="Tahoma" w:hAnsi="Tahoma" w:cs="Tahoma"/>
          <w:i/>
          <w:kern w:val="0"/>
          <w:sz w:val="20"/>
          <w:szCs w:val="20"/>
          <w:u w:val="single"/>
        </w:rPr>
      </w:pPr>
    </w:p>
    <w:p w14:paraId="7ADB963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Il lavoro autonomo occasionale ha come suoi elementi caratteristici:</w:t>
      </w:r>
    </w:p>
    <w:p w14:paraId="551D9ABC" w14:textId="77777777" w:rsidR="002558B3" w:rsidRPr="00CC00D4" w:rsidRDefault="002558B3">
      <w:pPr>
        <w:pStyle w:val="Paragrafoelenco"/>
        <w:numPr>
          <w:ilvl w:val="0"/>
          <w:numId w:val="40"/>
        </w:numPr>
        <w:autoSpaceDN w:val="0"/>
        <w:ind w:left="709" w:hanging="357"/>
        <w:contextualSpacing/>
        <w:textAlignment w:val="baseline"/>
        <w:rPr>
          <w:rFonts w:cs="Tahoma"/>
          <w:szCs w:val="20"/>
        </w:rPr>
      </w:pPr>
      <w:r w:rsidRPr="00CC00D4">
        <w:rPr>
          <w:rFonts w:cs="Tahoma"/>
          <w:iCs/>
          <w:szCs w:val="20"/>
        </w:rPr>
        <w:t>Un’obbligazione di tipo corrispettivo;</w:t>
      </w:r>
    </w:p>
    <w:p w14:paraId="6BC5FC54" w14:textId="77777777" w:rsidR="002558B3" w:rsidRPr="00CC00D4" w:rsidRDefault="002558B3">
      <w:pPr>
        <w:pStyle w:val="Paragrafoelenco"/>
        <w:numPr>
          <w:ilvl w:val="0"/>
          <w:numId w:val="40"/>
        </w:numPr>
        <w:autoSpaceDN w:val="0"/>
        <w:ind w:left="709" w:hanging="357"/>
        <w:contextualSpacing/>
        <w:textAlignment w:val="baseline"/>
        <w:rPr>
          <w:rFonts w:cs="Tahoma"/>
          <w:szCs w:val="20"/>
        </w:rPr>
      </w:pPr>
      <w:r w:rsidRPr="00CC00D4">
        <w:rPr>
          <w:rFonts w:cs="Tahoma"/>
          <w:iCs/>
          <w:szCs w:val="20"/>
        </w:rPr>
        <w:t>L’oggetto della prestazione rappresentato da un’opera o un servizio;</w:t>
      </w:r>
    </w:p>
    <w:p w14:paraId="256E2125" w14:textId="77777777" w:rsidR="002558B3" w:rsidRPr="00CC00D4" w:rsidRDefault="002558B3">
      <w:pPr>
        <w:pStyle w:val="Paragrafoelenco"/>
        <w:numPr>
          <w:ilvl w:val="0"/>
          <w:numId w:val="40"/>
        </w:numPr>
        <w:autoSpaceDN w:val="0"/>
        <w:ind w:left="709" w:hanging="357"/>
        <w:contextualSpacing/>
        <w:textAlignment w:val="baseline"/>
        <w:rPr>
          <w:rFonts w:cs="Tahoma"/>
          <w:szCs w:val="20"/>
        </w:rPr>
      </w:pPr>
      <w:r w:rsidRPr="00CC00D4">
        <w:rPr>
          <w:rFonts w:cs="Tahoma"/>
          <w:iCs/>
          <w:szCs w:val="20"/>
        </w:rPr>
        <w:t>La prevalenza dell’apporto lavorativo del soggetto;</w:t>
      </w:r>
    </w:p>
    <w:p w14:paraId="0CFA6162" w14:textId="77777777" w:rsidR="002558B3" w:rsidRPr="00CC00D4" w:rsidRDefault="002558B3">
      <w:pPr>
        <w:pStyle w:val="Paragrafoelenco"/>
        <w:numPr>
          <w:ilvl w:val="0"/>
          <w:numId w:val="40"/>
        </w:numPr>
        <w:autoSpaceDN w:val="0"/>
        <w:ind w:left="709"/>
        <w:textAlignment w:val="baseline"/>
        <w:rPr>
          <w:rFonts w:cs="Tahoma"/>
          <w:szCs w:val="20"/>
        </w:rPr>
      </w:pPr>
      <w:r w:rsidRPr="00CC00D4">
        <w:rPr>
          <w:rFonts w:cs="Tahoma"/>
          <w:iCs/>
          <w:szCs w:val="20"/>
        </w:rPr>
        <w:t>L’assenza di subordinazione nei confronti del committente.</w:t>
      </w:r>
    </w:p>
    <w:p w14:paraId="7C76B76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La norma cardine in tal senso è l’articolo 2222 del Codice Civile. Il testo, dal titolo “</w:t>
      </w:r>
      <w:r w:rsidRPr="00CC00D4">
        <w:rPr>
          <w:rFonts w:ascii="Tahoma" w:hAnsi="Tahoma" w:cs="Tahoma"/>
          <w:i/>
          <w:iCs/>
          <w:kern w:val="0"/>
          <w:sz w:val="20"/>
          <w:szCs w:val="20"/>
        </w:rPr>
        <w:t>Contratto d’opera</w:t>
      </w:r>
      <w:r w:rsidRPr="00CC00D4">
        <w:rPr>
          <w:rFonts w:ascii="Tahoma" w:hAnsi="Tahoma" w:cs="Tahoma"/>
          <w:iCs/>
          <w:kern w:val="0"/>
          <w:sz w:val="20"/>
          <w:szCs w:val="20"/>
        </w:rPr>
        <w:t>”, identifica il lavoratore autonomo come colui che si “</w:t>
      </w:r>
      <w:r w:rsidRPr="00CC00D4">
        <w:rPr>
          <w:rFonts w:ascii="Tahoma" w:hAnsi="Tahoma" w:cs="Tahoma"/>
          <w:i/>
          <w:kern w:val="0"/>
          <w:sz w:val="20"/>
          <w:szCs w:val="20"/>
        </w:rPr>
        <w:t>obbliga a compiere verso un corrispettivo un’opera o un servizio, con lavoro prevalentemente proprio e senza vincolo di subordinazione nei confronti del committente</w:t>
      </w:r>
      <w:r w:rsidRPr="00CC00D4">
        <w:rPr>
          <w:rFonts w:ascii="Tahoma" w:hAnsi="Tahoma" w:cs="Tahoma"/>
          <w:iCs/>
          <w:kern w:val="0"/>
          <w:sz w:val="20"/>
          <w:szCs w:val="20"/>
        </w:rPr>
        <w:t>”.</w:t>
      </w:r>
    </w:p>
    <w:p w14:paraId="7165E8B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Sul punto la </w:t>
      </w:r>
      <w:hyperlink r:id="rId22" w:history="1">
        <w:r w:rsidRPr="00CC00D4">
          <w:rPr>
            <w:rStyle w:val="Collegamentoipertestuale"/>
            <w:rFonts w:ascii="Tahoma" w:hAnsi="Tahoma" w:cs="Tahoma"/>
            <w:iCs/>
            <w:kern w:val="0"/>
            <w:sz w:val="20"/>
            <w:szCs w:val="20"/>
          </w:rPr>
          <w:t>Circolare INPS del 6 luglio 2004 numero 103</w:t>
        </w:r>
      </w:hyperlink>
      <w:r w:rsidRPr="00CC00D4">
        <w:rPr>
          <w:rFonts w:ascii="Tahoma" w:hAnsi="Tahoma" w:cs="Tahoma"/>
          <w:iCs/>
          <w:kern w:val="0"/>
          <w:sz w:val="20"/>
          <w:szCs w:val="20"/>
        </w:rPr>
        <w:t xml:space="preserve"> definisce come lavoratore autonomo occasionale chi “</w:t>
      </w:r>
      <w:r w:rsidRPr="00CC00D4">
        <w:rPr>
          <w:rFonts w:ascii="Tahoma" w:hAnsi="Tahoma" w:cs="Tahoma"/>
          <w:i/>
          <w:kern w:val="0"/>
          <w:sz w:val="20"/>
          <w:szCs w:val="20"/>
        </w:rPr>
        <w:t>si obbliga a compiere un’opera od un servizio, con lavoro prevalentemente proprio, senza vincolo di subordinazione e senza alcun coordinamento con il committente</w:t>
      </w:r>
      <w:r w:rsidRPr="00CC00D4">
        <w:rPr>
          <w:rFonts w:ascii="Tahoma" w:hAnsi="Tahoma" w:cs="Tahoma"/>
          <w:iCs/>
          <w:kern w:val="0"/>
          <w:sz w:val="20"/>
          <w:szCs w:val="20"/>
        </w:rPr>
        <w:t>”.</w:t>
      </w:r>
    </w:p>
    <w:p w14:paraId="6D9DA4A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L’esercizio dell’attività, continua la Circolare, deve “</w:t>
      </w:r>
      <w:r w:rsidRPr="00CC00D4">
        <w:rPr>
          <w:rFonts w:ascii="Tahoma" w:hAnsi="Tahoma" w:cs="Tahoma"/>
          <w:i/>
          <w:kern w:val="0"/>
          <w:sz w:val="20"/>
          <w:szCs w:val="20"/>
        </w:rPr>
        <w:t>essere del tutto occasionale, senza i requisiti della professionalità e della prevalenza</w:t>
      </w:r>
      <w:r w:rsidRPr="00CC00D4">
        <w:rPr>
          <w:rFonts w:ascii="Tahoma" w:hAnsi="Tahoma" w:cs="Tahoma"/>
          <w:iCs/>
          <w:kern w:val="0"/>
          <w:sz w:val="20"/>
          <w:szCs w:val="20"/>
        </w:rPr>
        <w:t>”. Di conseguenza, i caratteri tipici del lavoro autonomo occasionale “</w:t>
      </w:r>
      <w:r w:rsidRPr="00CC00D4">
        <w:rPr>
          <w:rFonts w:ascii="Tahoma" w:hAnsi="Tahoma" w:cs="Tahoma"/>
          <w:i/>
          <w:kern w:val="0"/>
          <w:sz w:val="20"/>
          <w:szCs w:val="20"/>
        </w:rPr>
        <w:t>vanno individuati, tendenzialmente</w:t>
      </w:r>
      <w:r w:rsidRPr="00CC00D4">
        <w:rPr>
          <w:rFonts w:ascii="Tahoma" w:hAnsi="Tahoma" w:cs="Tahoma"/>
          <w:iCs/>
          <w:kern w:val="0"/>
          <w:sz w:val="20"/>
          <w:szCs w:val="20"/>
        </w:rPr>
        <w:t>” in:</w:t>
      </w:r>
    </w:p>
    <w:p w14:paraId="53C24AFF" w14:textId="77777777" w:rsidR="002558B3" w:rsidRPr="00CC00D4" w:rsidRDefault="002558B3">
      <w:pPr>
        <w:pStyle w:val="Paragrafoelenco"/>
        <w:numPr>
          <w:ilvl w:val="0"/>
          <w:numId w:val="41"/>
        </w:numPr>
        <w:autoSpaceDN w:val="0"/>
        <w:ind w:left="709" w:hanging="357"/>
        <w:contextualSpacing/>
        <w:textAlignment w:val="baseline"/>
        <w:rPr>
          <w:rFonts w:cs="Tahoma"/>
          <w:szCs w:val="20"/>
        </w:rPr>
      </w:pPr>
      <w:r w:rsidRPr="00CC00D4">
        <w:rPr>
          <w:rFonts w:cs="Tahoma"/>
          <w:iCs/>
          <w:szCs w:val="20"/>
        </w:rPr>
        <w:t>Assenza</w:t>
      </w:r>
      <w:r w:rsidRPr="00CC00D4">
        <w:rPr>
          <w:rFonts w:cs="Tahoma"/>
          <w:i/>
          <w:szCs w:val="20"/>
        </w:rPr>
        <w:t xml:space="preserve"> </w:t>
      </w:r>
      <w:r w:rsidRPr="00CC00D4">
        <w:rPr>
          <w:rFonts w:cs="Tahoma"/>
          <w:iCs/>
          <w:szCs w:val="20"/>
        </w:rPr>
        <w:t>“</w:t>
      </w:r>
      <w:r w:rsidRPr="00CC00D4">
        <w:rPr>
          <w:rFonts w:cs="Tahoma"/>
          <w:i/>
          <w:szCs w:val="20"/>
        </w:rPr>
        <w:t>del coordinamento con l’attività del committente</w:t>
      </w:r>
      <w:r w:rsidRPr="00CC00D4">
        <w:rPr>
          <w:rFonts w:cs="Tahoma"/>
          <w:iCs/>
          <w:szCs w:val="20"/>
        </w:rPr>
        <w:t>”;</w:t>
      </w:r>
    </w:p>
    <w:p w14:paraId="5FC3F89E" w14:textId="77777777" w:rsidR="002558B3" w:rsidRPr="00CC00D4" w:rsidRDefault="002558B3">
      <w:pPr>
        <w:pStyle w:val="Paragrafoelenco"/>
        <w:numPr>
          <w:ilvl w:val="0"/>
          <w:numId w:val="41"/>
        </w:numPr>
        <w:autoSpaceDN w:val="0"/>
        <w:ind w:left="709" w:hanging="357"/>
        <w:contextualSpacing/>
        <w:textAlignment w:val="baseline"/>
        <w:rPr>
          <w:rFonts w:cs="Tahoma"/>
          <w:szCs w:val="20"/>
        </w:rPr>
      </w:pPr>
      <w:r w:rsidRPr="00CC00D4">
        <w:rPr>
          <w:rFonts w:cs="Tahoma"/>
          <w:iCs/>
          <w:szCs w:val="20"/>
        </w:rPr>
        <w:t>Mancanza</w:t>
      </w:r>
      <w:r w:rsidRPr="00CC00D4">
        <w:rPr>
          <w:rFonts w:cs="Tahoma"/>
          <w:i/>
          <w:szCs w:val="20"/>
        </w:rPr>
        <w:t xml:space="preserve"> </w:t>
      </w:r>
      <w:r w:rsidRPr="00CC00D4">
        <w:rPr>
          <w:rFonts w:cs="Tahoma"/>
          <w:iCs/>
          <w:szCs w:val="20"/>
        </w:rPr>
        <w:t>“</w:t>
      </w:r>
      <w:r w:rsidRPr="00CC00D4">
        <w:rPr>
          <w:rFonts w:cs="Tahoma"/>
          <w:i/>
          <w:szCs w:val="20"/>
        </w:rPr>
        <w:t>dell’inserimento funzionale nell’organizzazione aziendale</w:t>
      </w:r>
      <w:r w:rsidRPr="00CC00D4">
        <w:rPr>
          <w:rFonts w:cs="Tahoma"/>
          <w:iCs/>
          <w:szCs w:val="20"/>
        </w:rPr>
        <w:t>”;</w:t>
      </w:r>
    </w:p>
    <w:p w14:paraId="7C25B962" w14:textId="77777777" w:rsidR="002558B3" w:rsidRPr="00CC00D4" w:rsidRDefault="002558B3">
      <w:pPr>
        <w:pStyle w:val="Paragrafoelenco"/>
        <w:numPr>
          <w:ilvl w:val="0"/>
          <w:numId w:val="41"/>
        </w:numPr>
        <w:autoSpaceDN w:val="0"/>
        <w:ind w:left="709" w:hanging="357"/>
        <w:contextualSpacing/>
        <w:textAlignment w:val="baseline"/>
        <w:rPr>
          <w:rFonts w:cs="Tahoma"/>
          <w:szCs w:val="20"/>
        </w:rPr>
      </w:pPr>
      <w:r w:rsidRPr="00CC00D4">
        <w:rPr>
          <w:rFonts w:cs="Tahoma"/>
          <w:iCs/>
          <w:szCs w:val="20"/>
        </w:rPr>
        <w:t>Carattere episodico dell’attività;</w:t>
      </w:r>
    </w:p>
    <w:p w14:paraId="4E45EBB2" w14:textId="77777777" w:rsidR="002558B3" w:rsidRPr="00CC00D4" w:rsidRDefault="002558B3">
      <w:pPr>
        <w:pStyle w:val="Paragrafoelenco"/>
        <w:numPr>
          <w:ilvl w:val="0"/>
          <w:numId w:val="41"/>
        </w:numPr>
        <w:autoSpaceDN w:val="0"/>
        <w:ind w:left="709"/>
        <w:textAlignment w:val="baseline"/>
        <w:rPr>
          <w:rFonts w:cs="Tahoma"/>
          <w:szCs w:val="20"/>
        </w:rPr>
      </w:pPr>
      <w:r w:rsidRPr="00CC00D4">
        <w:rPr>
          <w:rFonts w:cs="Tahoma"/>
          <w:iCs/>
          <w:szCs w:val="20"/>
        </w:rPr>
        <w:t>Completa autonomia del lavoratore “</w:t>
      </w:r>
      <w:r w:rsidRPr="00CC00D4">
        <w:rPr>
          <w:rFonts w:cs="Tahoma"/>
          <w:i/>
          <w:szCs w:val="20"/>
        </w:rPr>
        <w:t>circa il tempo ed il modo della prestazione</w:t>
      </w:r>
      <w:r w:rsidRPr="00CC00D4">
        <w:rPr>
          <w:rFonts w:cs="Tahoma"/>
          <w:iCs/>
          <w:szCs w:val="20"/>
        </w:rPr>
        <w:t>”.</w:t>
      </w:r>
    </w:p>
    <w:p w14:paraId="6B6FF8A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Tra i casi tipici di prestazione occasionale possiamo annoverare il lavoratore dipendente incaricato di creare la pagina internet ed i profili sui </w:t>
      </w:r>
      <w:r w:rsidRPr="00CC00D4">
        <w:rPr>
          <w:rFonts w:ascii="Tahoma" w:hAnsi="Tahoma" w:cs="Tahoma"/>
          <w:i/>
          <w:kern w:val="0"/>
          <w:sz w:val="20"/>
          <w:szCs w:val="20"/>
        </w:rPr>
        <w:t xml:space="preserve">social network </w:t>
      </w:r>
      <w:r w:rsidRPr="00CC00D4">
        <w:rPr>
          <w:rFonts w:ascii="Tahoma" w:hAnsi="Tahoma" w:cs="Tahoma"/>
          <w:iCs/>
          <w:kern w:val="0"/>
          <w:sz w:val="20"/>
          <w:szCs w:val="20"/>
        </w:rPr>
        <w:t xml:space="preserve">di una azienda terza, pur non essendo questa la sua professione </w:t>
      </w:r>
      <w:r w:rsidRPr="00CC00D4">
        <w:rPr>
          <w:rFonts w:ascii="Tahoma" w:hAnsi="Tahoma" w:cs="Tahoma"/>
          <w:iCs/>
          <w:kern w:val="0"/>
          <w:sz w:val="20"/>
          <w:szCs w:val="20"/>
        </w:rPr>
        <w:lastRenderedPageBreak/>
        <w:t>abituale e nemmeno la società committente il suo datore di lavoro.</w:t>
      </w:r>
    </w:p>
    <w:p w14:paraId="41A4366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In questo esempio troviamo:</w:t>
      </w:r>
    </w:p>
    <w:p w14:paraId="53C8E051"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 xml:space="preserve">Carattere episodico dell’attività (la creazione di un sito internet e i profili </w:t>
      </w:r>
      <w:r w:rsidRPr="00CC00D4">
        <w:rPr>
          <w:rFonts w:cs="Tahoma"/>
          <w:i/>
          <w:szCs w:val="20"/>
        </w:rPr>
        <w:t>social</w:t>
      </w:r>
      <w:r w:rsidRPr="00CC00D4">
        <w:rPr>
          <w:rFonts w:cs="Tahoma"/>
          <w:iCs/>
          <w:szCs w:val="20"/>
        </w:rPr>
        <w:t>), cosa che mancherebbe ad esempio se la prestazione si concretizzasse in una manutenzione delle pagine;</w:t>
      </w:r>
    </w:p>
    <w:p w14:paraId="5C5272C5"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L’autonomia (l’interessato non è soggetto al potere direttivo, organizzativo, disciplinare e di controllo del committente);</w:t>
      </w:r>
    </w:p>
    <w:p w14:paraId="6209C642"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L’utilizzo di mezzi prevalentemente propri (strumentazione elettronica come pc e smartphone) e di una propria organizzazione;</w:t>
      </w:r>
    </w:p>
    <w:p w14:paraId="2C07B1E3"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 xml:space="preserve">La previsione di un corrispettivo a fronte di un servizio (la creazione del sito e delle pagine </w:t>
      </w:r>
      <w:r w:rsidRPr="00CC00D4">
        <w:rPr>
          <w:rFonts w:cs="Tahoma"/>
          <w:i/>
          <w:szCs w:val="20"/>
        </w:rPr>
        <w:t>social</w:t>
      </w:r>
      <w:r w:rsidRPr="00CC00D4">
        <w:rPr>
          <w:rFonts w:cs="Tahoma"/>
          <w:iCs/>
          <w:szCs w:val="20"/>
        </w:rPr>
        <w:t>);</w:t>
      </w:r>
    </w:p>
    <w:p w14:paraId="3E40181F"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Mancanza dei requisiti della professionalità e della prevalenza (la creazione di siti non è l’attività principale e prevalente dell’interessato il quale ha un contratto di lavoro subordinato a tempo pieno come impiegato commerciale in un’azienda della GDO);</w:t>
      </w:r>
    </w:p>
    <w:p w14:paraId="3BEA421E"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Assenza di qualsiasi coordinamento con l’attività del committente, eccezion fatta per alcune indicazioni di massima (ad esempio preferenze grafiche o contenutistiche);</w:t>
      </w:r>
    </w:p>
    <w:p w14:paraId="24F73F1C" w14:textId="77777777" w:rsidR="002558B3" w:rsidRPr="00CC00D4" w:rsidRDefault="002558B3">
      <w:pPr>
        <w:pStyle w:val="Paragrafoelenco"/>
        <w:numPr>
          <w:ilvl w:val="0"/>
          <w:numId w:val="42"/>
        </w:numPr>
        <w:autoSpaceDN w:val="0"/>
        <w:ind w:left="709" w:hanging="357"/>
        <w:contextualSpacing/>
        <w:textAlignment w:val="baseline"/>
        <w:rPr>
          <w:rFonts w:cs="Tahoma"/>
          <w:szCs w:val="20"/>
        </w:rPr>
      </w:pPr>
      <w:r w:rsidRPr="00CC00D4">
        <w:rPr>
          <w:rFonts w:cs="Tahoma"/>
          <w:iCs/>
          <w:szCs w:val="20"/>
        </w:rPr>
        <w:t>L’interessato è autonomo nell’organizzazione dell’attività (modalità di realizzazione e tempo da dedicarvi) e non è inserito nell’organizzazione aziendale del committente;</w:t>
      </w:r>
    </w:p>
    <w:p w14:paraId="3C3CD037" w14:textId="77777777" w:rsidR="002558B3" w:rsidRPr="00CC00D4" w:rsidRDefault="002558B3">
      <w:pPr>
        <w:pStyle w:val="Paragrafoelenco"/>
        <w:numPr>
          <w:ilvl w:val="0"/>
          <w:numId w:val="42"/>
        </w:numPr>
        <w:autoSpaceDN w:val="0"/>
        <w:ind w:left="709"/>
        <w:textAlignment w:val="baseline"/>
        <w:rPr>
          <w:rFonts w:cs="Tahoma"/>
          <w:szCs w:val="20"/>
        </w:rPr>
      </w:pPr>
      <w:r w:rsidRPr="00CC00D4">
        <w:rPr>
          <w:rFonts w:cs="Tahoma"/>
          <w:iCs/>
          <w:szCs w:val="20"/>
        </w:rPr>
        <w:t>La presenza del lavoratore autonomo in azienda è legata ad esigenze eccezionali e non costanti, tali da non configurare un coordinamento con il committente.</w:t>
      </w:r>
    </w:p>
    <w:p w14:paraId="040CACEB" w14:textId="77777777" w:rsidR="002558B3" w:rsidRPr="00CC00D4" w:rsidRDefault="002558B3" w:rsidP="002558B3">
      <w:pPr>
        <w:pStyle w:val="Standard"/>
        <w:spacing w:after="200" w:line="360" w:lineRule="auto"/>
        <w:jc w:val="both"/>
        <w:rPr>
          <w:rFonts w:ascii="Tahoma" w:hAnsi="Tahoma" w:cs="Tahoma"/>
          <w:i/>
          <w:kern w:val="0"/>
          <w:sz w:val="20"/>
          <w:szCs w:val="20"/>
        </w:rPr>
      </w:pPr>
    </w:p>
    <w:p w14:paraId="75526C2A" w14:textId="210F8D50" w:rsidR="002558B3" w:rsidRPr="00CC00D4" w:rsidRDefault="002558B3" w:rsidP="00AB649D">
      <w:pPr>
        <w:pStyle w:val="Titolo2"/>
      </w:pPr>
      <w:bookmarkStart w:id="7" w:name="__RefHeading__4350_1479815270"/>
      <w:bookmarkStart w:id="8" w:name="_Toc92386441"/>
      <w:bookmarkStart w:id="9" w:name="_Toc124266202"/>
      <w:r w:rsidRPr="00CC00D4">
        <w:t>1.1 Distinzione rispetto al lavoro subordinato</w:t>
      </w:r>
      <w:bookmarkEnd w:id="7"/>
      <w:bookmarkEnd w:id="8"/>
      <w:bookmarkEnd w:id="9"/>
    </w:p>
    <w:p w14:paraId="760C7B5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Ai sensi dell’articolo 2094 del Codice Civile è “</w:t>
      </w:r>
      <w:r w:rsidRPr="00CC00D4">
        <w:rPr>
          <w:rFonts w:ascii="Tahoma" w:hAnsi="Tahoma" w:cs="Tahoma"/>
          <w:i/>
          <w:kern w:val="0"/>
          <w:sz w:val="20"/>
          <w:szCs w:val="20"/>
        </w:rPr>
        <w:t>prestatore di lavoro subordinato chi si obbliga mediante retribuzione a collaborare nell’impresa, prestando il proprio lavoro intellettuale o manuale alle dipendenze e sotto la direzione dell’imprenditore</w:t>
      </w:r>
      <w:r w:rsidRPr="00CC00D4">
        <w:rPr>
          <w:rFonts w:ascii="Tahoma" w:hAnsi="Tahoma" w:cs="Tahoma"/>
          <w:iCs/>
          <w:kern w:val="0"/>
          <w:sz w:val="20"/>
          <w:szCs w:val="20"/>
        </w:rPr>
        <w:t>”.</w:t>
      </w:r>
    </w:p>
    <w:p w14:paraId="57E3E09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Il lavoro autonomo si differenzia pertanto da quello subordinato per l’assenza di qualsiasi assoggettamento del lavoratore al potere direttivo, organizzativo, disciplinare e di controllo del committente.</w:t>
      </w:r>
    </w:p>
    <w:p w14:paraId="5C2AE42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La Cassazione (sentenza 26 giugno 2020 numero 12871) afferma infatti che “</w:t>
      </w:r>
      <w:r w:rsidRPr="00CC00D4">
        <w:rPr>
          <w:rFonts w:ascii="Tahoma" w:hAnsi="Tahoma" w:cs="Tahoma"/>
          <w:i/>
          <w:kern w:val="0"/>
          <w:sz w:val="20"/>
          <w:szCs w:val="20"/>
        </w:rPr>
        <w:t>l’elemento essenziale di differenziazione tra lavoro autonomo e lavoro subordinato consiste nel vincolo di soggezione del lavoratore al potere direttivo, organizzativo e disciplinare del datore di lavoro, da ricercare in base ad un accertamento esclusivamente compiuto sulle concrete modalità di svolgimento della prestazione lavorativa</w:t>
      </w:r>
      <w:r w:rsidRPr="00CC00D4">
        <w:rPr>
          <w:rFonts w:ascii="Tahoma" w:hAnsi="Tahoma" w:cs="Tahoma"/>
          <w:iCs/>
          <w:kern w:val="0"/>
          <w:sz w:val="20"/>
          <w:szCs w:val="20"/>
        </w:rPr>
        <w:t>”.</w:t>
      </w:r>
    </w:p>
    <w:p w14:paraId="2A3EDD0B" w14:textId="77777777" w:rsidR="00634069" w:rsidRPr="00CC00D4" w:rsidRDefault="00634069">
      <w:pPr>
        <w:suppressAutoHyphens w:val="0"/>
        <w:spacing w:after="0" w:line="240" w:lineRule="auto"/>
        <w:jc w:val="left"/>
        <w:rPr>
          <w:rFonts w:eastAsia="SimSun" w:cs="Tahoma"/>
          <w:iCs/>
          <w:color w:val="00000A"/>
          <w:szCs w:val="20"/>
          <w:lang w:bidi="hi-IN"/>
        </w:rPr>
      </w:pPr>
      <w:r w:rsidRPr="00CC00D4">
        <w:rPr>
          <w:rFonts w:cs="Tahoma"/>
          <w:iCs/>
          <w:szCs w:val="20"/>
        </w:rPr>
        <w:br w:type="page"/>
      </w:r>
    </w:p>
    <w:p w14:paraId="748099D1" w14:textId="5ED19B4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lastRenderedPageBreak/>
        <w:t>Al contrario, il lavoratore autonomo si impegna a realizzare con:</w:t>
      </w:r>
    </w:p>
    <w:p w14:paraId="0499D05B" w14:textId="77777777" w:rsidR="002558B3" w:rsidRPr="00CC00D4" w:rsidRDefault="002558B3">
      <w:pPr>
        <w:pStyle w:val="Paragrafoelenco"/>
        <w:numPr>
          <w:ilvl w:val="0"/>
          <w:numId w:val="44"/>
        </w:numPr>
        <w:autoSpaceDN w:val="0"/>
        <w:ind w:left="709" w:hanging="357"/>
        <w:contextualSpacing/>
        <w:textAlignment w:val="baseline"/>
        <w:rPr>
          <w:rFonts w:cs="Tahoma"/>
          <w:szCs w:val="20"/>
        </w:rPr>
      </w:pPr>
      <w:r w:rsidRPr="00CC00D4">
        <w:rPr>
          <w:rFonts w:cs="Tahoma"/>
          <w:iCs/>
          <w:szCs w:val="20"/>
        </w:rPr>
        <w:t>Organizzazione propria;</w:t>
      </w:r>
    </w:p>
    <w:p w14:paraId="1BDAD60D" w14:textId="77777777" w:rsidR="002558B3" w:rsidRPr="00CC00D4" w:rsidRDefault="002558B3">
      <w:pPr>
        <w:pStyle w:val="Paragrafoelenco"/>
        <w:numPr>
          <w:ilvl w:val="0"/>
          <w:numId w:val="44"/>
        </w:numPr>
        <w:autoSpaceDN w:val="0"/>
        <w:ind w:left="709"/>
        <w:textAlignment w:val="baseline"/>
        <w:rPr>
          <w:rFonts w:cs="Tahoma"/>
          <w:szCs w:val="20"/>
        </w:rPr>
      </w:pPr>
      <w:r w:rsidRPr="00CC00D4">
        <w:rPr>
          <w:rFonts w:cs="Tahoma"/>
          <w:iCs/>
          <w:szCs w:val="20"/>
        </w:rPr>
        <w:t>Mezzi prevalentemente propri;</w:t>
      </w:r>
    </w:p>
    <w:p w14:paraId="355283E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un determinato risultato, assumendosi il rischio di non ricevere il compenso pattuito nel caso in cui il committente non ottenga l’opera o il servizio richiesti. Ancora la sentenza numero 12871 afferma che “</w:t>
      </w:r>
      <w:r w:rsidRPr="00CC00D4">
        <w:rPr>
          <w:rFonts w:ascii="Tahoma" w:hAnsi="Tahoma" w:cs="Tahoma"/>
          <w:i/>
          <w:kern w:val="0"/>
          <w:sz w:val="20"/>
          <w:szCs w:val="20"/>
        </w:rPr>
        <w:t>mentre la subordinazione implica l’inserimento del lavoratore nella organizzazione imprenditoriale del datore di lavoro mediante la messa a disposizione, in suo favore, delle proprie energie lavorative (operae) ed il contestuale assoggettamento al potere direttivo di costui, nel lavoro autonomo l’oggetto della prestazione è costituito dal risultato dell’attività (opus)</w:t>
      </w:r>
      <w:r w:rsidRPr="00CC00D4">
        <w:rPr>
          <w:rFonts w:ascii="Tahoma" w:hAnsi="Tahoma" w:cs="Tahoma"/>
          <w:iCs/>
          <w:kern w:val="0"/>
          <w:sz w:val="20"/>
          <w:szCs w:val="20"/>
        </w:rPr>
        <w:t>”.</w:t>
      </w:r>
    </w:p>
    <w:p w14:paraId="399AB37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A prescindere dalle formalità contrattuali, le concrete modalità di esecuzione di una prestazione possono rendere difficoltosa la distinzione tra lavoro subordinato ed autonomo.</w:t>
      </w:r>
    </w:p>
    <w:p w14:paraId="7EE4D7A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Di conseguenza, è necessario considerare criteri ulteriori quali:</w:t>
      </w:r>
    </w:p>
    <w:p w14:paraId="2C328E5E" w14:textId="77777777" w:rsidR="002558B3" w:rsidRPr="00CC00D4" w:rsidRDefault="002558B3">
      <w:pPr>
        <w:pStyle w:val="Paragrafoelenco"/>
        <w:numPr>
          <w:ilvl w:val="0"/>
          <w:numId w:val="43"/>
        </w:numPr>
        <w:autoSpaceDN w:val="0"/>
        <w:ind w:left="709" w:hanging="357"/>
        <w:contextualSpacing/>
        <w:textAlignment w:val="baseline"/>
        <w:rPr>
          <w:rFonts w:cs="Tahoma"/>
          <w:szCs w:val="20"/>
        </w:rPr>
      </w:pPr>
      <w:r w:rsidRPr="00CC00D4">
        <w:rPr>
          <w:rFonts w:cs="Tahoma"/>
          <w:iCs/>
          <w:szCs w:val="20"/>
        </w:rPr>
        <w:t>Volontà delle parti;</w:t>
      </w:r>
    </w:p>
    <w:p w14:paraId="2A8C7E7F" w14:textId="77777777" w:rsidR="002558B3" w:rsidRPr="00CC00D4" w:rsidRDefault="002558B3">
      <w:pPr>
        <w:pStyle w:val="Paragrafoelenco"/>
        <w:numPr>
          <w:ilvl w:val="0"/>
          <w:numId w:val="43"/>
        </w:numPr>
        <w:autoSpaceDN w:val="0"/>
        <w:ind w:left="709" w:hanging="357"/>
        <w:contextualSpacing/>
        <w:textAlignment w:val="baseline"/>
        <w:rPr>
          <w:rFonts w:cs="Tahoma"/>
          <w:szCs w:val="20"/>
        </w:rPr>
      </w:pPr>
      <w:r w:rsidRPr="00CC00D4">
        <w:rPr>
          <w:rFonts w:cs="Tahoma"/>
          <w:iCs/>
          <w:szCs w:val="20"/>
        </w:rPr>
        <w:t>Modalità di svolgimento della prestazione;</w:t>
      </w:r>
    </w:p>
    <w:p w14:paraId="6ADD9983" w14:textId="77777777" w:rsidR="002558B3" w:rsidRPr="00CC00D4" w:rsidRDefault="002558B3">
      <w:pPr>
        <w:pStyle w:val="Paragrafoelenco"/>
        <w:numPr>
          <w:ilvl w:val="0"/>
          <w:numId w:val="43"/>
        </w:numPr>
        <w:autoSpaceDN w:val="0"/>
        <w:ind w:left="709"/>
        <w:textAlignment w:val="baseline"/>
        <w:rPr>
          <w:rFonts w:cs="Tahoma"/>
          <w:szCs w:val="20"/>
        </w:rPr>
      </w:pPr>
      <w:r w:rsidRPr="00CC00D4">
        <w:rPr>
          <w:rFonts w:cs="Tahoma"/>
          <w:iCs/>
          <w:szCs w:val="20"/>
        </w:rPr>
        <w:t>Indicatori della condizione di subordinazione.</w:t>
      </w:r>
    </w:p>
    <w:p w14:paraId="52572C7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Per consolidata giurisprudenza di Cassazione, la qualificazione del rapporto come subordinato è legata innanzitutto alla volontà delle parti, a prescindere dall’inquadramento formale.</w:t>
      </w:r>
    </w:p>
    <w:p w14:paraId="75512D5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Ciò che rileva è appunto la condotta dei soggetti coinvolti una volta concluso il contratto, nell’attuazione concreta dello stesso. Così la sentenza della Suprema Corte del 26 giugno 2020 numero 12871: “</w:t>
      </w:r>
      <w:r w:rsidRPr="00CC00D4">
        <w:rPr>
          <w:rFonts w:ascii="Tahoma" w:hAnsi="Tahoma" w:cs="Tahoma"/>
          <w:i/>
          <w:kern w:val="0"/>
          <w:sz w:val="20"/>
          <w:szCs w:val="20"/>
        </w:rPr>
        <w:t>Il nomen iuris eventualmente assegnato dalle parti al contratto non è quindi vincolante per il giudice ed è comunque sempre superabile in presenza di effettive, univoche, diverse modalità di adempimento della prestazione</w:t>
      </w:r>
      <w:r w:rsidRPr="00CC00D4">
        <w:rPr>
          <w:rFonts w:ascii="Tahoma" w:hAnsi="Tahoma" w:cs="Tahoma"/>
          <w:iCs/>
          <w:kern w:val="0"/>
          <w:sz w:val="20"/>
          <w:szCs w:val="20"/>
        </w:rPr>
        <w:t>”.</w:t>
      </w:r>
    </w:p>
    <w:p w14:paraId="46453C3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In tal senso, sempre la sentenza stabilisce che “</w:t>
      </w:r>
      <w:r w:rsidRPr="00CC00D4">
        <w:rPr>
          <w:rFonts w:ascii="Tahoma" w:hAnsi="Tahoma" w:cs="Tahoma"/>
          <w:i/>
          <w:kern w:val="0"/>
          <w:sz w:val="20"/>
          <w:szCs w:val="20"/>
        </w:rPr>
        <w:t>il primario parametro distintivo della subordinazione deve essere necessariamente accertato o escluso mediante il ricorso ad elementi sussidiari che il giudice deve individuare in concreto, dando prevalenza ai dati fattuali emergenti dall’effettivo svolgimento del rapporto, essendo il comportamento delle parti posteriore alla conclusione del contratto elemento necessario non solo ai fini della sua interpretazione (ai sensi dell’art. 1362 c.c., comma 2), ma anche ai fini dell’accertamento di una nuova e diversa volontà eventualmente intervenuta nel corso dell’attuazione del rapporto e diretta modificare singole sue clausole e talora la stessa natura del rapporto lavorativo inizialmente prevista, da autonoma a subordinata</w:t>
      </w:r>
      <w:r w:rsidRPr="00CC00D4">
        <w:rPr>
          <w:rFonts w:ascii="Tahoma" w:hAnsi="Tahoma" w:cs="Tahoma"/>
          <w:iCs/>
          <w:kern w:val="0"/>
          <w:sz w:val="20"/>
          <w:szCs w:val="20"/>
        </w:rPr>
        <w:t>”.</w:t>
      </w:r>
    </w:p>
    <w:p w14:paraId="6924137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In secondo luogo rilevano, quali indicatori di una condizione di subordinazione:</w:t>
      </w:r>
    </w:p>
    <w:p w14:paraId="280BEEB6" w14:textId="77777777" w:rsidR="002558B3" w:rsidRPr="00CC00D4" w:rsidRDefault="002558B3">
      <w:pPr>
        <w:pStyle w:val="Paragrafoelenco"/>
        <w:numPr>
          <w:ilvl w:val="0"/>
          <w:numId w:val="45"/>
        </w:numPr>
        <w:autoSpaceDN w:val="0"/>
        <w:ind w:left="709" w:hanging="357"/>
        <w:contextualSpacing/>
        <w:textAlignment w:val="baseline"/>
        <w:rPr>
          <w:rFonts w:cs="Tahoma"/>
          <w:szCs w:val="20"/>
        </w:rPr>
      </w:pPr>
      <w:r w:rsidRPr="00CC00D4">
        <w:rPr>
          <w:rFonts w:cs="Tahoma"/>
          <w:iCs/>
          <w:szCs w:val="20"/>
        </w:rPr>
        <w:lastRenderedPageBreak/>
        <w:t>La presenza dei poteri di controllo e disciplinare oltre a direttive tecniche;</w:t>
      </w:r>
    </w:p>
    <w:p w14:paraId="6CD18937" w14:textId="77777777" w:rsidR="002558B3" w:rsidRPr="00CC00D4" w:rsidRDefault="002558B3">
      <w:pPr>
        <w:pStyle w:val="Paragrafoelenco"/>
        <w:numPr>
          <w:ilvl w:val="0"/>
          <w:numId w:val="45"/>
        </w:numPr>
        <w:autoSpaceDN w:val="0"/>
        <w:ind w:left="709" w:hanging="357"/>
        <w:contextualSpacing/>
        <w:textAlignment w:val="baseline"/>
        <w:rPr>
          <w:rFonts w:cs="Tahoma"/>
          <w:szCs w:val="20"/>
        </w:rPr>
      </w:pPr>
      <w:r w:rsidRPr="00CC00D4">
        <w:rPr>
          <w:rFonts w:cs="Tahoma"/>
          <w:iCs/>
          <w:szCs w:val="20"/>
        </w:rPr>
        <w:t>L’inserimento del soggetto nell’organizzazione aziendale e la contemporanea assenza di un’organizzazione imprenditoriale in capo al lavoratore;</w:t>
      </w:r>
    </w:p>
    <w:p w14:paraId="3D89FFA9" w14:textId="77777777" w:rsidR="002558B3" w:rsidRPr="00CC00D4" w:rsidRDefault="002558B3">
      <w:pPr>
        <w:pStyle w:val="Paragrafoelenco"/>
        <w:numPr>
          <w:ilvl w:val="0"/>
          <w:numId w:val="45"/>
        </w:numPr>
        <w:autoSpaceDN w:val="0"/>
        <w:ind w:left="709" w:hanging="357"/>
        <w:contextualSpacing/>
        <w:textAlignment w:val="baseline"/>
        <w:rPr>
          <w:rFonts w:cs="Tahoma"/>
          <w:szCs w:val="20"/>
        </w:rPr>
      </w:pPr>
      <w:r w:rsidRPr="00CC00D4">
        <w:rPr>
          <w:rFonts w:cs="Tahoma"/>
          <w:iCs/>
          <w:szCs w:val="20"/>
        </w:rPr>
        <w:t>Lo svolgimento della prestazione con attrezzature e materiali forniti dal datore di lavoro;</w:t>
      </w:r>
    </w:p>
    <w:p w14:paraId="7221D9D2" w14:textId="77777777" w:rsidR="002558B3" w:rsidRPr="00CC00D4" w:rsidRDefault="002558B3">
      <w:pPr>
        <w:pStyle w:val="Paragrafoelenco"/>
        <w:numPr>
          <w:ilvl w:val="0"/>
          <w:numId w:val="45"/>
        </w:numPr>
        <w:autoSpaceDN w:val="0"/>
        <w:ind w:left="709" w:hanging="357"/>
        <w:contextualSpacing/>
        <w:textAlignment w:val="baseline"/>
        <w:rPr>
          <w:rFonts w:cs="Tahoma"/>
          <w:szCs w:val="20"/>
        </w:rPr>
      </w:pPr>
      <w:r w:rsidRPr="00CC00D4">
        <w:rPr>
          <w:rFonts w:cs="Tahoma"/>
          <w:iCs/>
          <w:szCs w:val="20"/>
        </w:rPr>
        <w:t>L’assunzione del rischio d’impresa da parte dell’azienda;</w:t>
      </w:r>
    </w:p>
    <w:p w14:paraId="17AE4EEB" w14:textId="77777777" w:rsidR="002558B3" w:rsidRPr="00CC00D4" w:rsidRDefault="002558B3">
      <w:pPr>
        <w:pStyle w:val="Paragrafoelenco"/>
        <w:numPr>
          <w:ilvl w:val="0"/>
          <w:numId w:val="45"/>
        </w:numPr>
        <w:autoSpaceDN w:val="0"/>
        <w:ind w:left="709" w:hanging="357"/>
        <w:contextualSpacing/>
        <w:textAlignment w:val="baseline"/>
        <w:rPr>
          <w:rFonts w:cs="Tahoma"/>
          <w:szCs w:val="20"/>
        </w:rPr>
      </w:pPr>
      <w:r w:rsidRPr="00CC00D4">
        <w:rPr>
          <w:rFonts w:cs="Tahoma"/>
          <w:iCs/>
          <w:szCs w:val="20"/>
        </w:rPr>
        <w:t>Il rispetto di un determinato orario di lavoro;</w:t>
      </w:r>
    </w:p>
    <w:p w14:paraId="15164A24" w14:textId="77777777" w:rsidR="002558B3" w:rsidRPr="00CC00D4" w:rsidRDefault="002558B3">
      <w:pPr>
        <w:pStyle w:val="Paragrafoelenco"/>
        <w:numPr>
          <w:ilvl w:val="0"/>
          <w:numId w:val="45"/>
        </w:numPr>
        <w:autoSpaceDN w:val="0"/>
        <w:ind w:left="709"/>
        <w:textAlignment w:val="baseline"/>
        <w:rPr>
          <w:rFonts w:cs="Tahoma"/>
          <w:szCs w:val="20"/>
        </w:rPr>
      </w:pPr>
      <w:r w:rsidRPr="00CC00D4">
        <w:rPr>
          <w:rFonts w:cs="Tahoma"/>
          <w:iCs/>
          <w:szCs w:val="20"/>
        </w:rPr>
        <w:t>La collaborazione intesa come sistematicità e continuità della prestazione.</w:t>
      </w:r>
    </w:p>
    <w:p w14:paraId="1327067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Nessuno degli elementi citati è da solo in grado di portare ad una distinzione netta tra lavoro autonomo e subordinato.</w:t>
      </w:r>
    </w:p>
    <w:p w14:paraId="5B2FF6B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 criteri devono infatti essere valutati nell’ambito di un apprezzamento complessivo del rapporto, con particolare riguardo alle concrete modalità di esecuzione della prestazione o allo svolgimento intrinseco della stessa.</w:t>
      </w:r>
    </w:p>
    <w:p w14:paraId="5A17E0FB" w14:textId="77777777" w:rsidR="002558B3" w:rsidRPr="00CC00D4" w:rsidRDefault="002558B3" w:rsidP="002558B3">
      <w:pPr>
        <w:pStyle w:val="Standard"/>
        <w:spacing w:after="200" w:line="360" w:lineRule="auto"/>
        <w:jc w:val="both"/>
        <w:rPr>
          <w:rFonts w:ascii="Tahoma" w:hAnsi="Tahoma" w:cs="Tahoma"/>
          <w:iCs/>
          <w:kern w:val="0"/>
          <w:sz w:val="20"/>
          <w:szCs w:val="20"/>
        </w:rPr>
      </w:pPr>
    </w:p>
    <w:p w14:paraId="611EE09D" w14:textId="60D2E070" w:rsidR="002558B3" w:rsidRPr="00CC00D4" w:rsidRDefault="002558B3" w:rsidP="00AB649D">
      <w:pPr>
        <w:pStyle w:val="Titolo2"/>
      </w:pPr>
      <w:bookmarkStart w:id="10" w:name="__RefHeading__4352_1479815270"/>
      <w:bookmarkStart w:id="11" w:name="_Toc92386442"/>
      <w:bookmarkStart w:id="12" w:name="_Toc124266203"/>
      <w:r w:rsidRPr="00CC00D4">
        <w:t>1.2 Distinzione rispetto al lavoro autonomo abituale</w:t>
      </w:r>
      <w:bookmarkEnd w:id="10"/>
      <w:bookmarkEnd w:id="11"/>
      <w:bookmarkEnd w:id="12"/>
    </w:p>
    <w:p w14:paraId="789BC24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Una volta riscontrato il carattere autonomo del rapporto è necessario distinguere tra:</w:t>
      </w:r>
    </w:p>
    <w:p w14:paraId="0A79C098" w14:textId="77777777" w:rsidR="002558B3" w:rsidRPr="00CC00D4" w:rsidRDefault="002558B3">
      <w:pPr>
        <w:pStyle w:val="Paragrafoelenco"/>
        <w:numPr>
          <w:ilvl w:val="0"/>
          <w:numId w:val="35"/>
        </w:numPr>
        <w:autoSpaceDN w:val="0"/>
        <w:ind w:left="709" w:hanging="357"/>
        <w:contextualSpacing/>
        <w:textAlignment w:val="baseline"/>
        <w:rPr>
          <w:rFonts w:cs="Tahoma"/>
          <w:szCs w:val="20"/>
        </w:rPr>
      </w:pPr>
      <w:r w:rsidRPr="00CC00D4">
        <w:rPr>
          <w:rFonts w:cs="Tahoma"/>
          <w:iCs/>
          <w:szCs w:val="20"/>
        </w:rPr>
        <w:t>Lavoro autonomo in senso stretto;</w:t>
      </w:r>
    </w:p>
    <w:p w14:paraId="7BDE38BE" w14:textId="77777777" w:rsidR="002558B3" w:rsidRPr="00CC00D4" w:rsidRDefault="002558B3">
      <w:pPr>
        <w:pStyle w:val="Paragrafoelenco"/>
        <w:numPr>
          <w:ilvl w:val="0"/>
          <w:numId w:val="35"/>
        </w:numPr>
        <w:autoSpaceDN w:val="0"/>
        <w:ind w:left="709"/>
        <w:textAlignment w:val="baseline"/>
        <w:rPr>
          <w:rFonts w:cs="Tahoma"/>
          <w:szCs w:val="20"/>
        </w:rPr>
      </w:pPr>
      <w:r w:rsidRPr="00CC00D4">
        <w:rPr>
          <w:rFonts w:cs="Tahoma"/>
          <w:iCs/>
          <w:szCs w:val="20"/>
        </w:rPr>
        <w:t>Lavoro autonomo occasionale.</w:t>
      </w:r>
    </w:p>
    <w:p w14:paraId="1733D3B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Sul punto il Codice Civile non fornisce alcuna distinzione tra le due fattispecie, posto che il discrimine è nato grazie a normative previdenziali e tributarie in materia di:</w:t>
      </w:r>
    </w:p>
    <w:p w14:paraId="3A4D4B7A" w14:textId="77777777" w:rsidR="002558B3" w:rsidRPr="00CC00D4" w:rsidRDefault="002558B3">
      <w:pPr>
        <w:pStyle w:val="Paragrafoelenco"/>
        <w:numPr>
          <w:ilvl w:val="0"/>
          <w:numId w:val="36"/>
        </w:numPr>
        <w:autoSpaceDN w:val="0"/>
        <w:ind w:left="709" w:hanging="357"/>
        <w:contextualSpacing/>
        <w:textAlignment w:val="baseline"/>
        <w:rPr>
          <w:rFonts w:cs="Tahoma"/>
          <w:szCs w:val="20"/>
        </w:rPr>
      </w:pPr>
      <w:r w:rsidRPr="00CC00D4">
        <w:rPr>
          <w:rFonts w:cs="Tahoma"/>
          <w:iCs/>
          <w:szCs w:val="20"/>
        </w:rPr>
        <w:t>IVA;</w:t>
      </w:r>
    </w:p>
    <w:p w14:paraId="42554BCE" w14:textId="77777777" w:rsidR="002558B3" w:rsidRPr="00CC00D4" w:rsidRDefault="002558B3">
      <w:pPr>
        <w:pStyle w:val="Paragrafoelenco"/>
        <w:numPr>
          <w:ilvl w:val="0"/>
          <w:numId w:val="36"/>
        </w:numPr>
        <w:autoSpaceDN w:val="0"/>
        <w:ind w:left="709" w:hanging="357"/>
        <w:contextualSpacing/>
        <w:textAlignment w:val="baseline"/>
        <w:rPr>
          <w:rFonts w:cs="Tahoma"/>
          <w:szCs w:val="20"/>
        </w:rPr>
      </w:pPr>
      <w:r w:rsidRPr="00CC00D4">
        <w:rPr>
          <w:rFonts w:cs="Tahoma"/>
          <w:iCs/>
          <w:szCs w:val="20"/>
        </w:rPr>
        <w:t>IRPEF;</w:t>
      </w:r>
    </w:p>
    <w:p w14:paraId="5D49F86C" w14:textId="77777777" w:rsidR="002558B3" w:rsidRPr="00CC00D4" w:rsidRDefault="002558B3">
      <w:pPr>
        <w:pStyle w:val="Paragrafoelenco"/>
        <w:numPr>
          <w:ilvl w:val="0"/>
          <w:numId w:val="36"/>
        </w:numPr>
        <w:autoSpaceDN w:val="0"/>
        <w:ind w:left="709"/>
        <w:textAlignment w:val="baseline"/>
        <w:rPr>
          <w:rFonts w:cs="Tahoma"/>
          <w:szCs w:val="20"/>
        </w:rPr>
      </w:pPr>
      <w:r w:rsidRPr="00CC00D4">
        <w:rPr>
          <w:rFonts w:cs="Tahoma"/>
          <w:iCs/>
          <w:szCs w:val="20"/>
        </w:rPr>
        <w:t>Gestione Separata INPS;</w:t>
      </w:r>
    </w:p>
    <w:p w14:paraId="79CC383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 con cui si è sottolineato che la linea di confine è data non tanto dalla natura della prestazione svolta, ma dal carattere episodico della stessa.</w:t>
      </w:r>
    </w:p>
    <w:p w14:paraId="2A95DF9D" w14:textId="77777777" w:rsidR="002558B3" w:rsidRPr="00CC00D4" w:rsidRDefault="002558B3" w:rsidP="002558B3">
      <w:pPr>
        <w:pStyle w:val="Standard"/>
        <w:spacing w:after="200" w:line="360" w:lineRule="auto"/>
        <w:jc w:val="both"/>
        <w:rPr>
          <w:rFonts w:ascii="Tahoma" w:hAnsi="Tahoma" w:cs="Tahoma"/>
          <w:iCs/>
          <w:kern w:val="0"/>
          <w:sz w:val="20"/>
          <w:szCs w:val="20"/>
        </w:rPr>
      </w:pPr>
    </w:p>
    <w:p w14:paraId="52B05C15" w14:textId="192FD83A" w:rsidR="002558B3" w:rsidRPr="00CC00D4" w:rsidRDefault="002558B3" w:rsidP="00AB649D">
      <w:pPr>
        <w:pStyle w:val="Titolo3"/>
      </w:pPr>
      <w:bookmarkStart w:id="13" w:name="_Toc124266204"/>
      <w:r w:rsidRPr="00CC00D4">
        <w:t>1.2.1 IVA</w:t>
      </w:r>
      <w:bookmarkEnd w:id="13"/>
    </w:p>
    <w:p w14:paraId="52C9677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Si citano in particolare il Decreto del Presidente della Repubblica del 26 ottobre 1972 numero 633 con cui si è istituita e disciplinata l’Imposta sul Valore Aggiunto (IVA).</w:t>
      </w:r>
    </w:p>
    <w:p w14:paraId="139453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lastRenderedPageBreak/>
        <w:t>All’articolo 1 si prevede l’applicazione dell’IVA “</w:t>
      </w:r>
      <w:r w:rsidRPr="00CC00D4">
        <w:rPr>
          <w:rFonts w:ascii="Tahoma" w:hAnsi="Tahoma" w:cs="Tahoma"/>
          <w:i/>
          <w:kern w:val="0"/>
          <w:sz w:val="20"/>
          <w:szCs w:val="20"/>
        </w:rPr>
        <w:t>sulle cessioni di beni e le prestazioni di servizi effettuate nel territorio dello Stato nell’esercizio di imprese o nell’esercizio di arti e professioni e sulle importazioni da chiunque effettuate</w:t>
      </w:r>
      <w:r w:rsidRPr="00CC00D4">
        <w:rPr>
          <w:rFonts w:ascii="Tahoma" w:hAnsi="Tahoma" w:cs="Tahoma"/>
          <w:iCs/>
          <w:kern w:val="0"/>
          <w:sz w:val="20"/>
          <w:szCs w:val="20"/>
        </w:rPr>
        <w:t>”.</w:t>
      </w:r>
    </w:p>
    <w:p w14:paraId="3C4599E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Nel successivo articolo 5 si fissano le condizioni affinché un soggetto lavoratore autonomo occasionale operi con Partita IVA: “</w:t>
      </w:r>
      <w:r w:rsidRPr="00CC00D4">
        <w:rPr>
          <w:rFonts w:ascii="Tahoma" w:hAnsi="Tahoma" w:cs="Tahoma"/>
          <w:i/>
          <w:kern w:val="0"/>
          <w:sz w:val="20"/>
          <w:szCs w:val="20"/>
        </w:rPr>
        <w:t>Per esercizio di arti e professioni si intende l’esercizio per professione abituale, ancorché non esclusiva, di qualsiasi attività di lavoro autonomo da parte di persone fisiche ovvero da parte di società semplici o di associazioni senza personalità giuridica costituite tra persone fisiche per l’esercizio in forma associata delle attività stesse</w:t>
      </w:r>
      <w:r w:rsidRPr="00CC00D4">
        <w:rPr>
          <w:rFonts w:ascii="Tahoma" w:hAnsi="Tahoma" w:cs="Tahoma"/>
          <w:iCs/>
          <w:kern w:val="0"/>
          <w:sz w:val="20"/>
          <w:szCs w:val="20"/>
        </w:rPr>
        <w:t>”.</w:t>
      </w:r>
    </w:p>
    <w:p w14:paraId="552D7A32" w14:textId="77777777" w:rsidR="002558B3" w:rsidRPr="00CC00D4" w:rsidRDefault="002558B3" w:rsidP="002558B3">
      <w:pPr>
        <w:pStyle w:val="Standard"/>
        <w:spacing w:after="200" w:line="360" w:lineRule="auto"/>
        <w:jc w:val="both"/>
        <w:rPr>
          <w:rFonts w:ascii="Tahoma" w:hAnsi="Tahoma" w:cs="Tahoma"/>
          <w:iCs/>
          <w:kern w:val="0"/>
          <w:sz w:val="20"/>
          <w:szCs w:val="20"/>
        </w:rPr>
      </w:pPr>
    </w:p>
    <w:p w14:paraId="4CB5BD1C" w14:textId="60EEDD47" w:rsidR="002558B3" w:rsidRPr="00CC00D4" w:rsidRDefault="002558B3" w:rsidP="00AB649D">
      <w:pPr>
        <w:pStyle w:val="Titolo3"/>
        <w:rPr>
          <w:u w:val="none"/>
        </w:rPr>
      </w:pPr>
      <w:bookmarkStart w:id="14" w:name="__RefHeading__4354_1479815270"/>
      <w:bookmarkStart w:id="15" w:name="_Toc92386443"/>
      <w:bookmarkStart w:id="16" w:name="_Toc124266205"/>
      <w:r w:rsidRPr="00CC00D4">
        <w:t>1.2.2 IRPEF</w:t>
      </w:r>
      <w:bookmarkEnd w:id="14"/>
      <w:bookmarkEnd w:id="15"/>
      <w:bookmarkEnd w:id="16"/>
    </w:p>
    <w:p w14:paraId="7324B90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Un’ulteriore qualificazione di lavoro autonomo occasionale è data dalla normativa in materia di Imposta sul Reddito delle Persone Fisiche (IRPEF) di cui al Decreto del Presidente della Repubblica 22 dicembre 1986 numero 917.</w:t>
      </w:r>
    </w:p>
    <w:p w14:paraId="62DC3EC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L’articolo 53 definisce i redditi di lavoro autonomo come quelli che “</w:t>
      </w:r>
      <w:r w:rsidRPr="00CC00D4">
        <w:rPr>
          <w:rFonts w:ascii="Tahoma" w:hAnsi="Tahoma" w:cs="Tahoma"/>
          <w:i/>
          <w:kern w:val="0"/>
          <w:sz w:val="20"/>
          <w:szCs w:val="20"/>
        </w:rPr>
        <w:t>derivano dall’esercizio di arti e professioni</w:t>
      </w:r>
      <w:r w:rsidRPr="00CC00D4">
        <w:rPr>
          <w:rFonts w:ascii="Tahoma" w:hAnsi="Tahoma" w:cs="Tahoma"/>
          <w:iCs/>
          <w:kern w:val="0"/>
          <w:sz w:val="20"/>
          <w:szCs w:val="20"/>
        </w:rPr>
        <w:t>”. Con questa espressione si intende “</w:t>
      </w:r>
      <w:r w:rsidRPr="00CC00D4">
        <w:rPr>
          <w:rFonts w:ascii="Tahoma" w:hAnsi="Tahoma" w:cs="Tahoma"/>
          <w:i/>
          <w:kern w:val="0"/>
          <w:sz w:val="20"/>
          <w:szCs w:val="20"/>
        </w:rPr>
        <w:t>l’esercizio per professione abituale, ancorché non esclusiva, di attività di lavoro autonomo diverse da quelle considerate nel capo VI</w:t>
      </w:r>
      <w:r w:rsidRPr="00CC00D4">
        <w:rPr>
          <w:rFonts w:ascii="Tahoma" w:hAnsi="Tahoma" w:cs="Tahoma"/>
          <w:iCs/>
          <w:kern w:val="0"/>
          <w:sz w:val="20"/>
          <w:szCs w:val="20"/>
        </w:rPr>
        <w:t>” quest’ultimo dedicato ai redditi di impresa.</w:t>
      </w:r>
    </w:p>
    <w:p w14:paraId="3661395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Al successivo articolo 54 si sottolinea che il “</w:t>
      </w:r>
      <w:r w:rsidRPr="00CC00D4">
        <w:rPr>
          <w:rFonts w:ascii="Tahoma" w:hAnsi="Tahoma" w:cs="Tahoma"/>
          <w:i/>
          <w:kern w:val="0"/>
          <w:sz w:val="20"/>
          <w:szCs w:val="20"/>
        </w:rPr>
        <w:t>reddito derivante dall’esercizio di arti e professioni è costituito dalla differenza tra l’ammontare dei compensi in denaro o in natura percepiti nel periodo di imposta, anche sotto forma di partecipazione agli utili, e quello delle spese sostenute nel periodo stesso nell’esercizio dell’arte o della professione</w:t>
      </w:r>
      <w:r w:rsidRPr="00CC00D4">
        <w:rPr>
          <w:rFonts w:ascii="Tahoma" w:hAnsi="Tahoma" w:cs="Tahoma"/>
          <w:iCs/>
          <w:kern w:val="0"/>
          <w:sz w:val="20"/>
          <w:szCs w:val="20"/>
        </w:rPr>
        <w:t>”.</w:t>
      </w:r>
    </w:p>
    <w:p w14:paraId="4AE1079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La disciplina fiscale del lavoro occasionale è al contrario contenuta nel Capo VII dedicato ai redditi diversi, definite all’articolo 67 comma 1 come somme che “</w:t>
      </w:r>
      <w:r w:rsidRPr="00CC00D4">
        <w:rPr>
          <w:rFonts w:ascii="Tahoma" w:hAnsi="Tahoma" w:cs="Tahoma"/>
          <w:i/>
          <w:kern w:val="0"/>
          <w:sz w:val="20"/>
          <w:szCs w:val="20"/>
        </w:rPr>
        <w:t>non costituiscono redditi di capitale ovvero se non sono conseguiti nell’esercizio di arti e professioni o di imprese commerciali o da società in nome collettivo e in accomandita semplice, né in relazione alla qualità di lavoro dipendente</w:t>
      </w:r>
      <w:r w:rsidRPr="00CC00D4">
        <w:rPr>
          <w:rFonts w:ascii="Tahoma" w:hAnsi="Tahoma" w:cs="Tahoma"/>
          <w:iCs/>
          <w:kern w:val="0"/>
          <w:sz w:val="20"/>
          <w:szCs w:val="20"/>
        </w:rPr>
        <w:t>” tra cui (lettera l) i “</w:t>
      </w:r>
      <w:r w:rsidRPr="00CC00D4">
        <w:rPr>
          <w:rFonts w:ascii="Tahoma" w:hAnsi="Tahoma" w:cs="Tahoma"/>
          <w:i/>
          <w:kern w:val="0"/>
          <w:sz w:val="20"/>
          <w:szCs w:val="20"/>
        </w:rPr>
        <w:t>redditi derivanti da attività di lavoro autonomo non esercitate abitualmente o dalla assunzione di obblighi di fare, non fare o permettere</w:t>
      </w:r>
      <w:r w:rsidRPr="00CC00D4">
        <w:rPr>
          <w:rFonts w:ascii="Tahoma" w:hAnsi="Tahoma" w:cs="Tahoma"/>
          <w:iCs/>
          <w:kern w:val="0"/>
          <w:sz w:val="20"/>
          <w:szCs w:val="20"/>
        </w:rPr>
        <w:t>”.</w:t>
      </w:r>
    </w:p>
    <w:p w14:paraId="35EDB913" w14:textId="77777777" w:rsidR="002558B3" w:rsidRPr="00CC00D4" w:rsidRDefault="002558B3" w:rsidP="002558B3">
      <w:pPr>
        <w:pStyle w:val="Standard"/>
        <w:spacing w:after="200" w:line="360" w:lineRule="auto"/>
        <w:jc w:val="both"/>
        <w:rPr>
          <w:rFonts w:ascii="Tahoma" w:hAnsi="Tahoma" w:cs="Tahoma"/>
          <w:iCs/>
          <w:kern w:val="0"/>
          <w:sz w:val="20"/>
          <w:szCs w:val="20"/>
        </w:rPr>
      </w:pPr>
    </w:p>
    <w:p w14:paraId="7BE1D9BA" w14:textId="1189AB07" w:rsidR="002558B3" w:rsidRPr="00CC00D4" w:rsidRDefault="000503FE" w:rsidP="00AB649D">
      <w:pPr>
        <w:pStyle w:val="Titolo3"/>
        <w:rPr>
          <w:u w:val="none"/>
        </w:rPr>
      </w:pPr>
      <w:bookmarkStart w:id="17" w:name="__RefHeading__4356_1479815270"/>
      <w:bookmarkStart w:id="18" w:name="_Toc92386444"/>
      <w:r w:rsidRPr="00CC00D4">
        <w:br w:type="page"/>
      </w:r>
      <w:bookmarkStart w:id="19" w:name="_Toc124266206"/>
      <w:r w:rsidR="002558B3" w:rsidRPr="00CC00D4">
        <w:lastRenderedPageBreak/>
        <w:t>1.2.3 Gestione Separata</w:t>
      </w:r>
      <w:bookmarkEnd w:id="17"/>
      <w:bookmarkEnd w:id="18"/>
      <w:bookmarkEnd w:id="19"/>
    </w:p>
    <w:p w14:paraId="226AADE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In campo previdenziale, la gestione e la qualificazione del rapporto di lavoro autonomo occasionale è contenuta </w:t>
      </w:r>
      <w:r w:rsidRPr="00CC00D4">
        <w:rPr>
          <w:rFonts w:ascii="Tahoma" w:hAnsi="Tahoma" w:cs="Tahoma"/>
          <w:bCs/>
          <w:kern w:val="0"/>
          <w:sz w:val="20"/>
          <w:szCs w:val="20"/>
        </w:rPr>
        <w:t>nel Decreto legge 30 settembre 2003 numero 269 (convertito con modificazioni in Legge 24 novembre 2003 numero 326) dove all’articolo 44 dal titolo “</w:t>
      </w:r>
      <w:r w:rsidRPr="00CC00D4">
        <w:rPr>
          <w:rFonts w:ascii="Tahoma" w:hAnsi="Tahoma" w:cs="Tahoma"/>
          <w:bCs/>
          <w:i/>
          <w:iCs/>
          <w:kern w:val="0"/>
          <w:sz w:val="20"/>
          <w:szCs w:val="20"/>
        </w:rPr>
        <w:t>Disposizioni varie in materia previdenziale</w:t>
      </w:r>
      <w:r w:rsidRPr="00CC00D4">
        <w:rPr>
          <w:rFonts w:ascii="Tahoma" w:hAnsi="Tahoma" w:cs="Tahoma"/>
          <w:bCs/>
          <w:kern w:val="0"/>
          <w:sz w:val="20"/>
          <w:szCs w:val="20"/>
        </w:rPr>
        <w:t>” si prevede (comma 2) a decorrere dal 1° gennaio 2004 che “</w:t>
      </w:r>
      <w:r w:rsidRPr="00CC00D4">
        <w:rPr>
          <w:rFonts w:ascii="Tahoma" w:hAnsi="Tahoma" w:cs="Tahoma"/>
          <w:bCs/>
          <w:i/>
          <w:iCs/>
          <w:kern w:val="0"/>
          <w:sz w:val="20"/>
          <w:szCs w:val="20"/>
        </w:rPr>
        <w:t>i soggetti esercenti attività di lavoro autonomo occasionale e gli incaricati alle vendite a domicilio</w:t>
      </w:r>
      <w:r w:rsidRPr="00CC00D4">
        <w:rPr>
          <w:rFonts w:ascii="Tahoma" w:hAnsi="Tahoma" w:cs="Tahoma"/>
          <w:bCs/>
          <w:kern w:val="0"/>
          <w:sz w:val="20"/>
          <w:szCs w:val="20"/>
        </w:rPr>
        <w:t>” sono iscritti alla Gestione Separata INPS solo “</w:t>
      </w:r>
      <w:r w:rsidRPr="00CC00D4">
        <w:rPr>
          <w:rFonts w:ascii="Tahoma" w:hAnsi="Tahoma" w:cs="Tahoma"/>
          <w:bCs/>
          <w:i/>
          <w:iCs/>
          <w:kern w:val="0"/>
          <w:sz w:val="20"/>
          <w:szCs w:val="20"/>
        </w:rPr>
        <w:t>qualora il reddito annuo derivante da dette attività sia superiore ad euro 5.000</w:t>
      </w:r>
      <w:r w:rsidRPr="00CC00D4">
        <w:rPr>
          <w:rFonts w:ascii="Tahoma" w:hAnsi="Tahoma" w:cs="Tahoma"/>
          <w:bCs/>
          <w:kern w:val="0"/>
          <w:sz w:val="20"/>
          <w:szCs w:val="20"/>
        </w:rPr>
        <w:t>”.</w:t>
      </w:r>
    </w:p>
    <w:p w14:paraId="719D6D9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Ed ancora si dispone che per “</w:t>
      </w:r>
      <w:r w:rsidRPr="00CC00D4">
        <w:rPr>
          <w:rFonts w:ascii="Tahoma" w:hAnsi="Tahoma" w:cs="Tahoma"/>
          <w:bCs/>
          <w:i/>
          <w:iCs/>
          <w:kern w:val="0"/>
          <w:sz w:val="20"/>
          <w:szCs w:val="20"/>
        </w:rPr>
        <w:t>il versamento del contributo da parte dei soggetti esercenti attività di lavoro autonomo occasionale si applicano le modalità ed i termini previsti per i collaboratori coordinati e continuativi iscritti alla predetta Gestione Separata</w:t>
      </w:r>
      <w:r w:rsidRPr="00CC00D4">
        <w:rPr>
          <w:rFonts w:ascii="Tahoma" w:hAnsi="Tahoma" w:cs="Tahoma"/>
          <w:bCs/>
          <w:kern w:val="0"/>
          <w:sz w:val="20"/>
          <w:szCs w:val="20"/>
        </w:rPr>
        <w:t xml:space="preserve">”. </w:t>
      </w:r>
      <w:r w:rsidRPr="00CC00D4">
        <w:rPr>
          <w:rFonts w:ascii="Tahoma" w:hAnsi="Tahoma" w:cs="Tahoma"/>
          <w:bCs/>
          <w:i/>
          <w:iCs/>
          <w:kern w:val="0"/>
          <w:sz w:val="20"/>
          <w:szCs w:val="20"/>
        </w:rPr>
        <w:t xml:space="preserve"> </w:t>
      </w:r>
    </w:p>
    <w:p w14:paraId="3F817C44" w14:textId="77777777" w:rsidR="002558B3" w:rsidRPr="00CC00D4" w:rsidRDefault="002558B3" w:rsidP="002558B3">
      <w:pPr>
        <w:pStyle w:val="Standard"/>
        <w:spacing w:after="200" w:line="360" w:lineRule="auto"/>
        <w:jc w:val="both"/>
        <w:rPr>
          <w:rFonts w:ascii="Tahoma" w:hAnsi="Tahoma" w:cs="Tahoma"/>
          <w:bCs/>
          <w:i/>
          <w:iCs/>
          <w:kern w:val="0"/>
          <w:sz w:val="20"/>
          <w:szCs w:val="20"/>
        </w:rPr>
      </w:pPr>
    </w:p>
    <w:p w14:paraId="65890ADA" w14:textId="1C258495" w:rsidR="002558B3" w:rsidRPr="00CC00D4" w:rsidRDefault="002558B3" w:rsidP="00AB649D">
      <w:pPr>
        <w:pStyle w:val="Titolo2"/>
      </w:pPr>
      <w:bookmarkStart w:id="20" w:name="__RefHeading__4358_1479815270"/>
      <w:bookmarkStart w:id="21" w:name="_Toc92386445"/>
      <w:bookmarkStart w:id="22" w:name="_Toc124266207"/>
      <w:r w:rsidRPr="00CC00D4">
        <w:t>1.3 Distinzione con la collaborazione coordinata e continuativa</w:t>
      </w:r>
      <w:bookmarkEnd w:id="20"/>
      <w:bookmarkEnd w:id="21"/>
      <w:bookmarkEnd w:id="22"/>
    </w:p>
    <w:p w14:paraId="5572385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lavoro autonomo occasionale si distingue dalle collaborazioni coordinate e continuative per il carattere episodico dell’attività e per l’assenza di:</w:t>
      </w:r>
    </w:p>
    <w:p w14:paraId="19E85812" w14:textId="77777777" w:rsidR="002558B3" w:rsidRPr="00CC00D4" w:rsidRDefault="002558B3">
      <w:pPr>
        <w:pStyle w:val="Paragrafoelenco"/>
        <w:numPr>
          <w:ilvl w:val="0"/>
          <w:numId w:val="37"/>
        </w:numPr>
        <w:autoSpaceDN w:val="0"/>
        <w:ind w:left="709" w:hanging="357"/>
        <w:contextualSpacing/>
        <w:textAlignment w:val="baseline"/>
        <w:rPr>
          <w:rFonts w:cs="Tahoma"/>
          <w:szCs w:val="20"/>
        </w:rPr>
      </w:pPr>
      <w:r w:rsidRPr="00CC00D4">
        <w:rPr>
          <w:rFonts w:cs="Tahoma"/>
          <w:szCs w:val="20"/>
        </w:rPr>
        <w:t>Coordinamento con l’attività del committente;</w:t>
      </w:r>
    </w:p>
    <w:p w14:paraId="018764B0" w14:textId="77777777" w:rsidR="002558B3" w:rsidRPr="00CC00D4" w:rsidRDefault="002558B3">
      <w:pPr>
        <w:pStyle w:val="Paragrafoelenco"/>
        <w:numPr>
          <w:ilvl w:val="0"/>
          <w:numId w:val="37"/>
        </w:numPr>
        <w:autoSpaceDN w:val="0"/>
        <w:ind w:left="709"/>
        <w:textAlignment w:val="baseline"/>
        <w:rPr>
          <w:rFonts w:cs="Tahoma"/>
          <w:szCs w:val="20"/>
        </w:rPr>
      </w:pPr>
      <w:r w:rsidRPr="00CC00D4">
        <w:rPr>
          <w:rFonts w:cs="Tahoma"/>
          <w:szCs w:val="20"/>
        </w:rPr>
        <w:t>Inserimento funzionale nell’organizzazione aziendale.</w:t>
      </w:r>
    </w:p>
    <w:p w14:paraId="422E659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giurisprudenza ha infatti individuato tre elementi caratteristici delle co.co.co.:</w:t>
      </w:r>
    </w:p>
    <w:p w14:paraId="08FD224A" w14:textId="77777777" w:rsidR="002558B3" w:rsidRPr="00CC00D4" w:rsidRDefault="002558B3">
      <w:pPr>
        <w:pStyle w:val="Paragrafoelenco"/>
        <w:numPr>
          <w:ilvl w:val="0"/>
          <w:numId w:val="38"/>
        </w:numPr>
        <w:autoSpaceDN w:val="0"/>
        <w:ind w:left="709" w:hanging="357"/>
        <w:contextualSpacing/>
        <w:textAlignment w:val="baseline"/>
        <w:rPr>
          <w:rFonts w:cs="Tahoma"/>
          <w:szCs w:val="20"/>
        </w:rPr>
      </w:pPr>
      <w:r w:rsidRPr="00CC00D4">
        <w:rPr>
          <w:rFonts w:cs="Tahoma"/>
          <w:szCs w:val="20"/>
        </w:rPr>
        <w:t xml:space="preserve">Continuità, </w:t>
      </w:r>
      <w:r w:rsidRPr="00CC00D4">
        <w:rPr>
          <w:rFonts w:cs="Tahoma"/>
          <w:bCs/>
          <w:szCs w:val="20"/>
        </w:rPr>
        <w:t>da intendersi come collaborazione durevole nel tempo, eventualmente attraverso un unico contratto di durata apprezzabile (Cass. n. 7288/1998);</w:t>
      </w:r>
    </w:p>
    <w:p w14:paraId="72191F30" w14:textId="77777777" w:rsidR="002558B3" w:rsidRPr="00CC00D4" w:rsidRDefault="002558B3">
      <w:pPr>
        <w:pStyle w:val="Paragrafoelenco"/>
        <w:numPr>
          <w:ilvl w:val="0"/>
          <w:numId w:val="38"/>
        </w:numPr>
        <w:autoSpaceDN w:val="0"/>
        <w:ind w:left="709" w:hanging="357"/>
        <w:contextualSpacing/>
        <w:textAlignment w:val="baseline"/>
        <w:rPr>
          <w:rFonts w:cs="Tahoma"/>
          <w:szCs w:val="20"/>
        </w:rPr>
      </w:pPr>
      <w:r w:rsidRPr="00CC00D4">
        <w:rPr>
          <w:rFonts w:cs="Tahoma"/>
          <w:bCs/>
          <w:szCs w:val="20"/>
        </w:rPr>
        <w:t>Prevalente personalità, da intendersi come prevalenza dell’attività del collaboratore sugli altri mezzi e strumenti utilizzati per eseguire la prestazione (Cass. n. 709/1998);</w:t>
      </w:r>
    </w:p>
    <w:p w14:paraId="48CE5804" w14:textId="77777777" w:rsidR="002558B3" w:rsidRPr="00CC00D4" w:rsidRDefault="002558B3">
      <w:pPr>
        <w:pStyle w:val="Paragrafoelenco"/>
        <w:numPr>
          <w:ilvl w:val="0"/>
          <w:numId w:val="38"/>
        </w:numPr>
        <w:autoSpaceDN w:val="0"/>
        <w:ind w:left="709"/>
        <w:textAlignment w:val="baseline"/>
        <w:rPr>
          <w:rFonts w:cs="Tahoma"/>
          <w:szCs w:val="20"/>
        </w:rPr>
      </w:pPr>
      <w:r w:rsidRPr="00CC00D4">
        <w:rPr>
          <w:rFonts w:cs="Tahoma"/>
          <w:bCs/>
          <w:szCs w:val="20"/>
        </w:rPr>
        <w:t>Coordinamento, da interpretare come il collegamento funzionale tra collaboratore ed attività economica del committente (Cass. n. 14722/1999).</w:t>
      </w:r>
    </w:p>
    <w:p w14:paraId="2F137AB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Di conseguenza, gli elementi che attualmente caratterizzano le collaborazioni coordinate e continuative, determinandone una distinzione rispetto al lavoro subordinato ed autonomo sono:</w:t>
      </w:r>
    </w:p>
    <w:p w14:paraId="19581348" w14:textId="77777777" w:rsidR="002558B3" w:rsidRPr="00CC00D4" w:rsidRDefault="002558B3">
      <w:pPr>
        <w:pStyle w:val="Paragrafoelenco"/>
        <w:numPr>
          <w:ilvl w:val="0"/>
          <w:numId w:val="39"/>
        </w:numPr>
        <w:autoSpaceDN w:val="0"/>
        <w:ind w:left="709" w:hanging="357"/>
        <w:contextualSpacing/>
        <w:textAlignment w:val="baseline"/>
        <w:rPr>
          <w:rFonts w:cs="Tahoma"/>
          <w:szCs w:val="20"/>
        </w:rPr>
      </w:pPr>
      <w:r w:rsidRPr="00CC00D4">
        <w:rPr>
          <w:rFonts w:cs="Tahoma"/>
          <w:bCs/>
          <w:szCs w:val="20"/>
        </w:rPr>
        <w:t>Autonomia, da intendersi come svolgimento di un’attività senza alcun vincolo di subordinazione, in cui la definizione dei tempi di lavoro e delle modalità di esecuzione è rimessa al collaboratore;</w:t>
      </w:r>
    </w:p>
    <w:p w14:paraId="62E85F3C" w14:textId="77777777" w:rsidR="002558B3" w:rsidRPr="00CC00D4" w:rsidRDefault="002558B3">
      <w:pPr>
        <w:pStyle w:val="Paragrafoelenco"/>
        <w:numPr>
          <w:ilvl w:val="0"/>
          <w:numId w:val="39"/>
        </w:numPr>
        <w:autoSpaceDN w:val="0"/>
        <w:ind w:left="709" w:hanging="357"/>
        <w:contextualSpacing/>
        <w:textAlignment w:val="baseline"/>
        <w:rPr>
          <w:rFonts w:cs="Tahoma"/>
          <w:szCs w:val="20"/>
        </w:rPr>
      </w:pPr>
      <w:r w:rsidRPr="00CC00D4">
        <w:rPr>
          <w:rFonts w:cs="Tahoma"/>
          <w:bCs/>
          <w:szCs w:val="20"/>
        </w:rPr>
        <w:t>Collaborazione, da intendersi quale svolgimento di un’attività finalizzata al raggiungimento di scopi determinati da altri (in base alle esigenze organizzative e finalità del committente) con totale autonomia del prestatore nella scelta delle modalità di svolgimento della prestazione;</w:t>
      </w:r>
    </w:p>
    <w:p w14:paraId="079A75D7" w14:textId="77777777" w:rsidR="002558B3" w:rsidRPr="00CC00D4" w:rsidRDefault="002558B3">
      <w:pPr>
        <w:pStyle w:val="Paragrafoelenco"/>
        <w:numPr>
          <w:ilvl w:val="0"/>
          <w:numId w:val="39"/>
        </w:numPr>
        <w:autoSpaceDN w:val="0"/>
        <w:ind w:left="709" w:hanging="357"/>
        <w:contextualSpacing/>
        <w:textAlignment w:val="baseline"/>
        <w:rPr>
          <w:rFonts w:cs="Tahoma"/>
          <w:szCs w:val="20"/>
        </w:rPr>
      </w:pPr>
      <w:r w:rsidRPr="00CC00D4">
        <w:rPr>
          <w:rFonts w:cs="Tahoma"/>
          <w:bCs/>
          <w:szCs w:val="20"/>
        </w:rPr>
        <w:lastRenderedPageBreak/>
        <w:t>Coordinamento, dal momento che il committente può fornire direttive al collaboratore, nei limiti dell’autonomia professionale di quest’ultimo;</w:t>
      </w:r>
    </w:p>
    <w:p w14:paraId="4BA761F1" w14:textId="77777777" w:rsidR="002558B3" w:rsidRPr="00CC00D4" w:rsidRDefault="002558B3">
      <w:pPr>
        <w:pStyle w:val="Paragrafoelenco"/>
        <w:numPr>
          <w:ilvl w:val="0"/>
          <w:numId w:val="39"/>
        </w:numPr>
        <w:autoSpaceDN w:val="0"/>
        <w:ind w:left="709" w:hanging="357"/>
        <w:contextualSpacing/>
        <w:textAlignment w:val="baseline"/>
        <w:rPr>
          <w:rFonts w:cs="Tahoma"/>
          <w:szCs w:val="20"/>
        </w:rPr>
      </w:pPr>
      <w:r w:rsidRPr="00CC00D4">
        <w:rPr>
          <w:rFonts w:cs="Tahoma"/>
          <w:bCs/>
          <w:szCs w:val="20"/>
        </w:rPr>
        <w:t>Continuità, da intendersi come attività non occasionale, la quale perdura nel tempo e richiede un impegno costante del collaboratore;</w:t>
      </w:r>
    </w:p>
    <w:p w14:paraId="6F65342A" w14:textId="77777777" w:rsidR="002558B3" w:rsidRPr="00CC00D4" w:rsidRDefault="002558B3">
      <w:pPr>
        <w:pStyle w:val="Paragrafoelenco"/>
        <w:numPr>
          <w:ilvl w:val="0"/>
          <w:numId w:val="39"/>
        </w:numPr>
        <w:autoSpaceDN w:val="0"/>
        <w:ind w:left="709"/>
        <w:textAlignment w:val="baseline"/>
        <w:rPr>
          <w:rFonts w:cs="Tahoma"/>
          <w:szCs w:val="20"/>
        </w:rPr>
      </w:pPr>
      <w:r w:rsidRPr="00CC00D4">
        <w:rPr>
          <w:rFonts w:cs="Tahoma"/>
          <w:bCs/>
          <w:szCs w:val="20"/>
        </w:rPr>
        <w:t>Prestazione prevalentemente personale, in quanto è necessario che l’apporto lavorativo del collaboratore prevalga sull’eventuale impiego di mezzi e / o altri soggetti.</w:t>
      </w:r>
    </w:p>
    <w:p w14:paraId="188F1264"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43C145CB" w14:textId="107587E3" w:rsidR="002558B3" w:rsidRPr="00CC00D4" w:rsidRDefault="002558B3" w:rsidP="00AB649D">
      <w:pPr>
        <w:pStyle w:val="Titolo2"/>
      </w:pPr>
      <w:bookmarkStart w:id="23" w:name="__RefHeading__4360_1479815270"/>
      <w:bookmarkStart w:id="24" w:name="_Toc92386446"/>
      <w:bookmarkStart w:id="25" w:name="_Toc124266208"/>
      <w:r w:rsidRPr="00CC00D4">
        <w:t>1.4 Distinzione rispetto alle prestazioni di lavoro occasionali</w:t>
      </w:r>
      <w:bookmarkEnd w:id="23"/>
      <w:bookmarkEnd w:id="24"/>
      <w:bookmarkEnd w:id="25"/>
    </w:p>
    <w:p w14:paraId="689F50D0" w14:textId="662D8019"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prestazioni di lavoro occasionali (articolo 54-</w:t>
      </w:r>
      <w:r w:rsidRPr="00CC00D4">
        <w:rPr>
          <w:rFonts w:ascii="Tahoma" w:hAnsi="Tahoma" w:cs="Tahoma"/>
          <w:bCs/>
          <w:i/>
          <w:iCs/>
          <w:kern w:val="0"/>
          <w:sz w:val="20"/>
          <w:szCs w:val="20"/>
        </w:rPr>
        <w:t>bis</w:t>
      </w:r>
      <w:r w:rsidRPr="00CC00D4">
        <w:rPr>
          <w:rFonts w:ascii="Tahoma" w:hAnsi="Tahoma" w:cs="Tahoma"/>
          <w:bCs/>
          <w:kern w:val="0"/>
          <w:sz w:val="20"/>
          <w:szCs w:val="20"/>
        </w:rPr>
        <w:t xml:space="preserve"> del Decreto</w:t>
      </w:r>
      <w:r w:rsidR="009123FD" w:rsidRPr="00CC00D4">
        <w:rPr>
          <w:rFonts w:ascii="Tahoma" w:hAnsi="Tahoma" w:cs="Tahoma"/>
          <w:bCs/>
          <w:kern w:val="0"/>
          <w:sz w:val="20"/>
          <w:szCs w:val="20"/>
        </w:rPr>
        <w:t>-</w:t>
      </w:r>
      <w:r w:rsidRPr="00CC00D4">
        <w:rPr>
          <w:rFonts w:ascii="Tahoma" w:hAnsi="Tahoma" w:cs="Tahoma"/>
          <w:bCs/>
          <w:kern w:val="0"/>
          <w:sz w:val="20"/>
          <w:szCs w:val="20"/>
        </w:rPr>
        <w:t>legge 24 aprile 2017 convertito con modificazioni in Legge 21 giugno 2017 numero 96) sono quelle svolte entro determinati limiti riferiti all’anno civile (1° gennaio – 31 dicembre).</w:t>
      </w:r>
    </w:p>
    <w:p w14:paraId="42EC34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singolo prestatore deve ricevere, con riferimento ad un singolo utilizzatore, un compenso non superiore a 2.500 euro complessivi e prestare l’attività per una durata non eccedente le 280 ore.</w:t>
      </w:r>
    </w:p>
    <w:p w14:paraId="7A986D1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stesse limitazioni sono imposte all’utilizzatore con riferimento al singolo prestatore.</w:t>
      </w:r>
    </w:p>
    <w:p w14:paraId="449CFCE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fronte del mancato rispetto dei limiti di compenso e durata il rapporto è trasformato in lavoro a tempo pieno ed indeterminato dal giorno del superamento.</w:t>
      </w:r>
    </w:p>
    <w:p w14:paraId="559F91D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pluralità di rapporti:</w:t>
      </w:r>
    </w:p>
    <w:p w14:paraId="65AA05F2" w14:textId="77777777" w:rsidR="002558B3" w:rsidRPr="00CC00D4" w:rsidRDefault="002558B3">
      <w:pPr>
        <w:pStyle w:val="Paragrafoelenco"/>
        <w:numPr>
          <w:ilvl w:val="0"/>
          <w:numId w:val="46"/>
        </w:numPr>
        <w:autoSpaceDN w:val="0"/>
        <w:ind w:left="709" w:hanging="357"/>
        <w:contextualSpacing/>
        <w:textAlignment w:val="baseline"/>
        <w:rPr>
          <w:rFonts w:cs="Tahoma"/>
          <w:szCs w:val="20"/>
        </w:rPr>
      </w:pPr>
      <w:r w:rsidRPr="00CC00D4">
        <w:rPr>
          <w:rFonts w:cs="Tahoma"/>
          <w:bCs/>
          <w:szCs w:val="20"/>
        </w:rPr>
        <w:t>Il prestatore ha come limite di compenso complessivo con più utilizzatori euro 5 mila netti;</w:t>
      </w:r>
    </w:p>
    <w:p w14:paraId="46B2FAE4" w14:textId="77777777" w:rsidR="002558B3" w:rsidRPr="00CC00D4" w:rsidRDefault="002558B3">
      <w:pPr>
        <w:pStyle w:val="Paragrafoelenco"/>
        <w:numPr>
          <w:ilvl w:val="0"/>
          <w:numId w:val="46"/>
        </w:numPr>
        <w:autoSpaceDN w:val="0"/>
        <w:ind w:left="709"/>
        <w:textAlignment w:val="baseline"/>
        <w:rPr>
          <w:rFonts w:cs="Tahoma"/>
          <w:szCs w:val="20"/>
        </w:rPr>
      </w:pPr>
      <w:r w:rsidRPr="00CC00D4">
        <w:rPr>
          <w:rFonts w:cs="Tahoma"/>
          <w:bCs/>
          <w:szCs w:val="20"/>
        </w:rPr>
        <w:t>L’utilizzatore ha come limite complessivo nei rapporti con più prestatori euro 5 mila netti.</w:t>
      </w:r>
    </w:p>
    <w:p w14:paraId="5B4FDED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L’utilizzatore può avvalersi di qualsiasi soggetto per lo svolgimento di prestazioni di lavoro occasionali (eccezion fatta per il settore dell’agricoltura, le aziende alberghiere e le strutture ricettive che operano nel settore turismo) eccezion fatta (articolo 54-</w:t>
      </w:r>
      <w:r w:rsidRPr="00CC00D4">
        <w:rPr>
          <w:rFonts w:ascii="Tahoma" w:hAnsi="Tahoma" w:cs="Tahoma"/>
          <w:bCs/>
          <w:i/>
          <w:iCs/>
          <w:kern w:val="0"/>
          <w:sz w:val="20"/>
          <w:szCs w:val="20"/>
        </w:rPr>
        <w:t>bis</w:t>
      </w:r>
      <w:r w:rsidRPr="00CC00D4">
        <w:rPr>
          <w:rFonts w:ascii="Tahoma" w:hAnsi="Tahoma" w:cs="Tahoma"/>
          <w:bCs/>
          <w:kern w:val="0"/>
          <w:sz w:val="20"/>
          <w:szCs w:val="20"/>
        </w:rPr>
        <w:t xml:space="preserve"> comma 5) per i “</w:t>
      </w:r>
      <w:r w:rsidRPr="00CC00D4">
        <w:rPr>
          <w:rFonts w:ascii="Tahoma" w:hAnsi="Tahoma" w:cs="Tahoma"/>
          <w:bCs/>
          <w:i/>
          <w:iCs/>
          <w:kern w:val="0"/>
          <w:sz w:val="20"/>
          <w:szCs w:val="20"/>
        </w:rPr>
        <w:t>soggetti con i quali l’utilizzatore abbia in corso o abbia cessato da meno di sei mesi un rapporto di lavoro subordinato o di collaborazione coordinata e continuativa</w:t>
      </w:r>
      <w:r w:rsidRPr="00CC00D4">
        <w:rPr>
          <w:rFonts w:ascii="Tahoma" w:hAnsi="Tahoma" w:cs="Tahoma"/>
          <w:bCs/>
          <w:kern w:val="0"/>
          <w:sz w:val="20"/>
          <w:szCs w:val="20"/>
        </w:rPr>
        <w:t>”, pena la conversione (sin dall’inizio) del rapporto in lavoro a tempo pieno ed indeterminato, qualora ne sia accertata la natura subordinata.</w:t>
      </w:r>
    </w:p>
    <w:p w14:paraId="222481B3"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6D906E37" w14:textId="25F81B1F" w:rsidR="002558B3" w:rsidRPr="00CC00D4" w:rsidRDefault="000503FE" w:rsidP="00AB649D">
      <w:pPr>
        <w:pStyle w:val="Titolo3"/>
        <w:rPr>
          <w:u w:val="none"/>
        </w:rPr>
      </w:pPr>
      <w:bookmarkStart w:id="26" w:name="__RefHeading__4362_1479815270"/>
      <w:bookmarkStart w:id="27" w:name="_Toc92386447"/>
      <w:r w:rsidRPr="00CC00D4">
        <w:br w:type="page"/>
      </w:r>
      <w:bookmarkStart w:id="28" w:name="_Toc124266209"/>
      <w:r w:rsidR="002558B3" w:rsidRPr="00CC00D4">
        <w:lastRenderedPageBreak/>
        <w:t>1.4.1 Imprese e professionisti</w:t>
      </w:r>
      <w:bookmarkEnd w:id="26"/>
      <w:bookmarkEnd w:id="27"/>
      <w:bookmarkEnd w:id="28"/>
    </w:p>
    <w:p w14:paraId="58E12B0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seguenti soggetti:</w:t>
      </w:r>
    </w:p>
    <w:p w14:paraId="513D1099" w14:textId="77777777" w:rsidR="002558B3" w:rsidRPr="00CC00D4" w:rsidRDefault="002558B3">
      <w:pPr>
        <w:pStyle w:val="Paragrafoelenco"/>
        <w:numPr>
          <w:ilvl w:val="0"/>
          <w:numId w:val="47"/>
        </w:numPr>
        <w:autoSpaceDN w:val="0"/>
        <w:ind w:left="709" w:hanging="357"/>
        <w:contextualSpacing/>
        <w:textAlignment w:val="baseline"/>
        <w:rPr>
          <w:rFonts w:cs="Tahoma"/>
          <w:szCs w:val="20"/>
        </w:rPr>
      </w:pPr>
      <w:r w:rsidRPr="00CC00D4">
        <w:rPr>
          <w:rFonts w:cs="Tahoma"/>
          <w:bCs/>
          <w:szCs w:val="20"/>
        </w:rPr>
        <w:t>Imprenditori;</w:t>
      </w:r>
    </w:p>
    <w:p w14:paraId="2EB2A1FD" w14:textId="77777777" w:rsidR="002558B3" w:rsidRPr="00CC00D4" w:rsidRDefault="002558B3">
      <w:pPr>
        <w:pStyle w:val="Paragrafoelenco"/>
        <w:numPr>
          <w:ilvl w:val="0"/>
          <w:numId w:val="47"/>
        </w:numPr>
        <w:autoSpaceDN w:val="0"/>
        <w:ind w:left="709" w:hanging="357"/>
        <w:contextualSpacing/>
        <w:textAlignment w:val="baseline"/>
        <w:rPr>
          <w:rFonts w:cs="Tahoma"/>
          <w:szCs w:val="20"/>
        </w:rPr>
      </w:pPr>
      <w:r w:rsidRPr="00CC00D4">
        <w:rPr>
          <w:rFonts w:cs="Tahoma"/>
          <w:bCs/>
          <w:szCs w:val="20"/>
        </w:rPr>
        <w:t>Professionisti;</w:t>
      </w:r>
    </w:p>
    <w:p w14:paraId="15FD29AD" w14:textId="77777777" w:rsidR="002558B3" w:rsidRPr="00CC00D4" w:rsidRDefault="002558B3">
      <w:pPr>
        <w:pStyle w:val="Paragrafoelenco"/>
        <w:numPr>
          <w:ilvl w:val="0"/>
          <w:numId w:val="47"/>
        </w:numPr>
        <w:autoSpaceDN w:val="0"/>
        <w:ind w:left="709" w:hanging="357"/>
        <w:contextualSpacing/>
        <w:textAlignment w:val="baseline"/>
        <w:rPr>
          <w:rFonts w:cs="Tahoma"/>
          <w:szCs w:val="20"/>
        </w:rPr>
      </w:pPr>
      <w:r w:rsidRPr="00CC00D4">
        <w:rPr>
          <w:rFonts w:cs="Tahoma"/>
          <w:bCs/>
          <w:szCs w:val="20"/>
        </w:rPr>
        <w:t>Lavoratori autonomi;</w:t>
      </w:r>
    </w:p>
    <w:p w14:paraId="2C347F41" w14:textId="77777777" w:rsidR="002558B3" w:rsidRPr="00CC00D4" w:rsidRDefault="002558B3">
      <w:pPr>
        <w:pStyle w:val="Paragrafoelenco"/>
        <w:numPr>
          <w:ilvl w:val="0"/>
          <w:numId w:val="47"/>
        </w:numPr>
        <w:autoSpaceDN w:val="0"/>
        <w:ind w:left="709" w:hanging="357"/>
        <w:contextualSpacing/>
        <w:textAlignment w:val="baseline"/>
        <w:rPr>
          <w:rFonts w:cs="Tahoma"/>
          <w:szCs w:val="20"/>
        </w:rPr>
      </w:pPr>
      <w:r w:rsidRPr="00CC00D4">
        <w:rPr>
          <w:rFonts w:cs="Tahoma"/>
          <w:bCs/>
          <w:szCs w:val="20"/>
        </w:rPr>
        <w:t>Associazioni;</w:t>
      </w:r>
    </w:p>
    <w:p w14:paraId="7502BD4C" w14:textId="77777777" w:rsidR="002558B3" w:rsidRPr="00CC00D4" w:rsidRDefault="002558B3">
      <w:pPr>
        <w:pStyle w:val="Paragrafoelenco"/>
        <w:numPr>
          <w:ilvl w:val="0"/>
          <w:numId w:val="47"/>
        </w:numPr>
        <w:autoSpaceDN w:val="0"/>
        <w:ind w:left="709" w:hanging="357"/>
        <w:contextualSpacing/>
        <w:textAlignment w:val="baseline"/>
        <w:rPr>
          <w:rFonts w:cs="Tahoma"/>
          <w:szCs w:val="20"/>
        </w:rPr>
      </w:pPr>
      <w:r w:rsidRPr="00CC00D4">
        <w:rPr>
          <w:rFonts w:cs="Tahoma"/>
          <w:bCs/>
          <w:szCs w:val="20"/>
        </w:rPr>
        <w:t>Fondazioni;</w:t>
      </w:r>
    </w:p>
    <w:p w14:paraId="052500E7" w14:textId="77777777" w:rsidR="002558B3" w:rsidRPr="00CC00D4" w:rsidRDefault="002558B3">
      <w:pPr>
        <w:pStyle w:val="Paragrafoelenco"/>
        <w:numPr>
          <w:ilvl w:val="0"/>
          <w:numId w:val="47"/>
        </w:numPr>
        <w:autoSpaceDN w:val="0"/>
        <w:ind w:left="709"/>
        <w:textAlignment w:val="baseline"/>
        <w:rPr>
          <w:rFonts w:cs="Tahoma"/>
          <w:szCs w:val="20"/>
        </w:rPr>
      </w:pPr>
      <w:r w:rsidRPr="00CC00D4">
        <w:rPr>
          <w:rFonts w:cs="Tahoma"/>
          <w:bCs/>
          <w:szCs w:val="20"/>
        </w:rPr>
        <w:t>Altri enti di natura privata;</w:t>
      </w:r>
    </w:p>
    <w:p w14:paraId="77A04D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possono porre in essere un contratto di prestazione occasionale a patto che occupino fino a 5 dipendenti a tempo indeterminato.</w:t>
      </w:r>
    </w:p>
    <w:p w14:paraId="5BD5679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Fanno eccezione le aziende alberghiere e le strutture ricettive operanti nel settore del turismo, le quali hanno alle dipendenze fino a 8 lavoratori a tempo indeterminato. Queste possono ricorrere a prestazioni occasionali esclusivamente per le attività rese da:</w:t>
      </w:r>
    </w:p>
    <w:p w14:paraId="24F32B93" w14:textId="77777777" w:rsidR="002558B3" w:rsidRPr="00CC00D4" w:rsidRDefault="002558B3">
      <w:pPr>
        <w:pStyle w:val="Paragrafoelenco"/>
        <w:numPr>
          <w:ilvl w:val="0"/>
          <w:numId w:val="52"/>
        </w:numPr>
        <w:autoSpaceDN w:val="0"/>
        <w:ind w:left="709" w:hanging="357"/>
        <w:contextualSpacing/>
        <w:textAlignment w:val="baseline"/>
        <w:rPr>
          <w:rFonts w:cs="Tahoma"/>
          <w:szCs w:val="20"/>
        </w:rPr>
      </w:pPr>
      <w:r w:rsidRPr="00CC00D4">
        <w:rPr>
          <w:rFonts w:cs="Tahoma"/>
          <w:bCs/>
          <w:szCs w:val="20"/>
        </w:rPr>
        <w:t>Titolari di pensione di vecchiaia o di invalidità;</w:t>
      </w:r>
    </w:p>
    <w:p w14:paraId="1FDB7095" w14:textId="77777777" w:rsidR="002558B3" w:rsidRPr="00CC00D4" w:rsidRDefault="002558B3">
      <w:pPr>
        <w:pStyle w:val="Paragrafoelenco"/>
        <w:numPr>
          <w:ilvl w:val="0"/>
          <w:numId w:val="52"/>
        </w:numPr>
        <w:autoSpaceDN w:val="0"/>
        <w:ind w:left="709" w:hanging="357"/>
        <w:contextualSpacing/>
        <w:textAlignment w:val="baseline"/>
        <w:rPr>
          <w:rFonts w:cs="Tahoma"/>
          <w:szCs w:val="20"/>
        </w:rPr>
      </w:pPr>
      <w:r w:rsidRPr="00CC00D4">
        <w:rPr>
          <w:rFonts w:cs="Tahoma"/>
          <w:bCs/>
          <w:szCs w:val="20"/>
        </w:rPr>
        <w:t>Giovani con meno di 25 anni, iscritti ad un ciclo di studi presso un istituto scolastico di qualsiasi ordine e grado ovvero ad un ciclo di studi presso l’università;</w:t>
      </w:r>
    </w:p>
    <w:p w14:paraId="407AD73A" w14:textId="77777777" w:rsidR="002558B3" w:rsidRPr="00CC00D4" w:rsidRDefault="002558B3">
      <w:pPr>
        <w:pStyle w:val="Paragrafoelenco"/>
        <w:numPr>
          <w:ilvl w:val="0"/>
          <w:numId w:val="52"/>
        </w:numPr>
        <w:autoSpaceDN w:val="0"/>
        <w:ind w:left="709" w:hanging="357"/>
        <w:contextualSpacing/>
        <w:textAlignment w:val="baseline"/>
        <w:rPr>
          <w:rFonts w:cs="Tahoma"/>
          <w:szCs w:val="20"/>
        </w:rPr>
      </w:pPr>
      <w:r w:rsidRPr="00CC00D4">
        <w:rPr>
          <w:rFonts w:cs="Tahoma"/>
          <w:bCs/>
          <w:szCs w:val="20"/>
        </w:rPr>
        <w:t>Disoccupati;</w:t>
      </w:r>
    </w:p>
    <w:p w14:paraId="439F9068" w14:textId="77777777" w:rsidR="002558B3" w:rsidRPr="00CC00D4" w:rsidRDefault="002558B3">
      <w:pPr>
        <w:pStyle w:val="Paragrafoelenco"/>
        <w:numPr>
          <w:ilvl w:val="0"/>
          <w:numId w:val="52"/>
        </w:numPr>
        <w:autoSpaceDN w:val="0"/>
        <w:ind w:left="709"/>
        <w:textAlignment w:val="baseline"/>
        <w:rPr>
          <w:rFonts w:cs="Tahoma"/>
          <w:szCs w:val="20"/>
        </w:rPr>
      </w:pPr>
      <w:r w:rsidRPr="00CC00D4">
        <w:rPr>
          <w:rFonts w:cs="Tahoma"/>
          <w:bCs/>
          <w:szCs w:val="20"/>
        </w:rPr>
        <w:t>Percettori di prestazioni integrative del salario ovvero di altre prestazioni di sostegno del reddito.</w:t>
      </w:r>
    </w:p>
    <w:p w14:paraId="5B73B26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Qualsiasi attività può essere svolta grazie al contratto di prestazione occasionale, eccezion fatta per:</w:t>
      </w:r>
    </w:p>
    <w:p w14:paraId="00911F33" w14:textId="77777777" w:rsidR="002558B3" w:rsidRPr="00CC00D4" w:rsidRDefault="002558B3">
      <w:pPr>
        <w:pStyle w:val="Paragrafoelenco"/>
        <w:numPr>
          <w:ilvl w:val="0"/>
          <w:numId w:val="53"/>
        </w:numPr>
        <w:autoSpaceDN w:val="0"/>
        <w:ind w:left="709" w:hanging="357"/>
        <w:contextualSpacing/>
        <w:textAlignment w:val="baseline"/>
        <w:rPr>
          <w:rFonts w:cs="Tahoma"/>
          <w:szCs w:val="20"/>
        </w:rPr>
      </w:pPr>
      <w:r w:rsidRPr="00CC00D4">
        <w:rPr>
          <w:rFonts w:cs="Tahoma"/>
          <w:bCs/>
          <w:szCs w:val="20"/>
        </w:rPr>
        <w:t>Esecuzione di appalti di opere o servizi;</w:t>
      </w:r>
    </w:p>
    <w:p w14:paraId="5A6696F5" w14:textId="77777777" w:rsidR="002558B3" w:rsidRPr="00CC00D4" w:rsidRDefault="002558B3">
      <w:pPr>
        <w:pStyle w:val="Paragrafoelenco"/>
        <w:numPr>
          <w:ilvl w:val="0"/>
          <w:numId w:val="53"/>
        </w:numPr>
        <w:autoSpaceDN w:val="0"/>
        <w:ind w:left="709"/>
        <w:textAlignment w:val="baseline"/>
        <w:rPr>
          <w:rFonts w:cs="Tahoma"/>
          <w:szCs w:val="20"/>
        </w:rPr>
      </w:pPr>
      <w:r w:rsidRPr="00CC00D4">
        <w:rPr>
          <w:rFonts w:cs="Tahoma"/>
          <w:bCs/>
          <w:szCs w:val="20"/>
        </w:rPr>
        <w:t>L’utilizzo da parte di imprese dell’edilizia e di settori affini, imprese esercenti l’attività di escavazione o lavorazione di materiale lapideo, del settore delle miniere, cave e torbiere.</w:t>
      </w:r>
    </w:p>
    <w:p w14:paraId="2CBA0E05"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w:t>
      </w:r>
      <w:r w:rsidR="002558B3" w:rsidRPr="00CC00D4">
        <w:rPr>
          <w:rFonts w:ascii="Tahoma" w:hAnsi="Tahoma" w:cs="Tahoma"/>
          <w:bCs/>
          <w:kern w:val="0"/>
          <w:sz w:val="20"/>
          <w:szCs w:val="20"/>
        </w:rPr>
        <w:t xml:space="preserve"> fatto obbligo:</w:t>
      </w:r>
    </w:p>
    <w:p w14:paraId="78B8B306" w14:textId="77777777" w:rsidR="002558B3" w:rsidRPr="00CC00D4" w:rsidRDefault="002558B3">
      <w:pPr>
        <w:pStyle w:val="Paragrafoelenco"/>
        <w:numPr>
          <w:ilvl w:val="0"/>
          <w:numId w:val="54"/>
        </w:numPr>
        <w:autoSpaceDN w:val="0"/>
        <w:ind w:left="709" w:hanging="357"/>
        <w:contextualSpacing/>
        <w:textAlignment w:val="baseline"/>
        <w:rPr>
          <w:rFonts w:cs="Tahoma"/>
          <w:szCs w:val="20"/>
        </w:rPr>
      </w:pPr>
      <w:r w:rsidRPr="00CC00D4">
        <w:rPr>
          <w:rFonts w:cs="Tahoma"/>
          <w:bCs/>
          <w:szCs w:val="20"/>
        </w:rPr>
        <w:t>Al prestatore di registrarsi (in autonomia o tramite un intermediario delegato / ente di patronato) all’apposita piattaforma disponibile sul portale “</w:t>
      </w:r>
      <w:r w:rsidRPr="00CC00D4">
        <w:rPr>
          <w:rFonts w:cs="Tahoma"/>
          <w:bCs/>
          <w:i/>
          <w:iCs/>
          <w:szCs w:val="20"/>
        </w:rPr>
        <w:t>inps.it</w:t>
      </w:r>
      <w:r w:rsidRPr="00CC00D4">
        <w:rPr>
          <w:rFonts w:cs="Tahoma"/>
          <w:bCs/>
          <w:szCs w:val="20"/>
        </w:rPr>
        <w:t xml:space="preserve"> </w:t>
      </w:r>
      <w:r w:rsidRPr="00CC00D4">
        <w:rPr>
          <w:rFonts w:cs="Tahoma"/>
          <w:bCs/>
          <w:i/>
          <w:iCs/>
          <w:szCs w:val="20"/>
        </w:rPr>
        <w:t>– Prestazioni e Servizi – Prestazioni – Contratto di prestazione occasionale</w:t>
      </w:r>
      <w:r w:rsidRPr="00CC00D4">
        <w:rPr>
          <w:rFonts w:cs="Tahoma"/>
          <w:bCs/>
          <w:szCs w:val="20"/>
        </w:rPr>
        <w:t>” oltre ad indicare l’iban su cui ricevere l’accredito delle competenze o, in alternativa, optare per il bonifico domiciliato presso l’ufficio postale;</w:t>
      </w:r>
    </w:p>
    <w:p w14:paraId="60B8EBE2" w14:textId="77777777" w:rsidR="002558B3" w:rsidRPr="00CC00D4" w:rsidRDefault="002558B3">
      <w:pPr>
        <w:pStyle w:val="Paragrafoelenco"/>
        <w:numPr>
          <w:ilvl w:val="0"/>
          <w:numId w:val="54"/>
        </w:numPr>
        <w:autoSpaceDN w:val="0"/>
        <w:ind w:left="709"/>
        <w:textAlignment w:val="baseline"/>
        <w:rPr>
          <w:rFonts w:cs="Tahoma"/>
          <w:szCs w:val="20"/>
        </w:rPr>
      </w:pPr>
      <w:r w:rsidRPr="00CC00D4">
        <w:rPr>
          <w:rFonts w:cs="Tahoma"/>
          <w:bCs/>
          <w:szCs w:val="20"/>
        </w:rPr>
        <w:t>All’utilizzatore di registrarsi anch’esso sulla piattaforma telematica INPS, seguendo il percorso descritto per il prestatore.</w:t>
      </w:r>
    </w:p>
    <w:p w14:paraId="313E1CF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Successivamente, l’utilizzatore è tenuto ad alimentare il proprio portafoglio telematico, versando a mezzo:</w:t>
      </w:r>
    </w:p>
    <w:p w14:paraId="36E8E2E1" w14:textId="77777777" w:rsidR="002558B3" w:rsidRPr="00CC00D4" w:rsidRDefault="002558B3">
      <w:pPr>
        <w:pStyle w:val="Paragrafoelenco"/>
        <w:numPr>
          <w:ilvl w:val="0"/>
          <w:numId w:val="51"/>
        </w:numPr>
        <w:autoSpaceDN w:val="0"/>
        <w:ind w:left="709" w:hanging="357"/>
        <w:contextualSpacing/>
        <w:textAlignment w:val="baseline"/>
        <w:rPr>
          <w:rFonts w:cs="Tahoma"/>
          <w:szCs w:val="20"/>
        </w:rPr>
      </w:pPr>
      <w:r w:rsidRPr="00CC00D4">
        <w:rPr>
          <w:rFonts w:cs="Tahoma"/>
          <w:bCs/>
          <w:szCs w:val="20"/>
        </w:rPr>
        <w:lastRenderedPageBreak/>
        <w:t>F24;</w:t>
      </w:r>
    </w:p>
    <w:p w14:paraId="1F54945A" w14:textId="77777777" w:rsidR="002558B3" w:rsidRPr="00CC00D4" w:rsidRDefault="002558B3">
      <w:pPr>
        <w:pStyle w:val="Paragrafoelenco"/>
        <w:numPr>
          <w:ilvl w:val="0"/>
          <w:numId w:val="51"/>
        </w:numPr>
        <w:autoSpaceDN w:val="0"/>
        <w:ind w:left="709"/>
        <w:textAlignment w:val="baseline"/>
        <w:rPr>
          <w:rFonts w:cs="Tahoma"/>
          <w:szCs w:val="20"/>
        </w:rPr>
      </w:pPr>
      <w:r w:rsidRPr="00CC00D4">
        <w:rPr>
          <w:rFonts w:cs="Tahoma"/>
          <w:bCs/>
          <w:szCs w:val="20"/>
        </w:rPr>
        <w:t>Strumenti di pagamento elettronico con addebito su conto corrente o carta di debito / credito;</w:t>
      </w:r>
    </w:p>
    <w:p w14:paraId="0ACC068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somme necessarie per remunerare la prestazione ed assolvere gli obblighi contributivi.</w:t>
      </w:r>
    </w:p>
    <w:p w14:paraId="50234DF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Sempre l’utilizzatore, almeno un’ora prima della prestazione, è obbligato a comunicare sulla piattaforma INPS (o chiamando il Contact center dell’Istituto):</w:t>
      </w:r>
    </w:p>
    <w:p w14:paraId="757316A1" w14:textId="77777777" w:rsidR="002558B3" w:rsidRPr="00CC00D4" w:rsidRDefault="002558B3">
      <w:pPr>
        <w:pStyle w:val="Paragrafoelenco"/>
        <w:numPr>
          <w:ilvl w:val="0"/>
          <w:numId w:val="49"/>
        </w:numPr>
        <w:autoSpaceDN w:val="0"/>
        <w:ind w:left="709" w:hanging="357"/>
        <w:contextualSpacing/>
        <w:textAlignment w:val="baseline"/>
        <w:rPr>
          <w:rFonts w:cs="Tahoma"/>
          <w:szCs w:val="20"/>
        </w:rPr>
      </w:pPr>
      <w:r w:rsidRPr="00CC00D4">
        <w:rPr>
          <w:rFonts w:cs="Tahoma"/>
          <w:bCs/>
          <w:szCs w:val="20"/>
        </w:rPr>
        <w:t>I dati anagrafici ed identificativi del prestatore;</w:t>
      </w:r>
    </w:p>
    <w:p w14:paraId="5B382223" w14:textId="77777777" w:rsidR="002558B3" w:rsidRPr="00CC00D4" w:rsidRDefault="002558B3">
      <w:pPr>
        <w:pStyle w:val="Paragrafoelenco"/>
        <w:numPr>
          <w:ilvl w:val="0"/>
          <w:numId w:val="49"/>
        </w:numPr>
        <w:autoSpaceDN w:val="0"/>
        <w:ind w:left="709" w:hanging="357"/>
        <w:contextualSpacing/>
        <w:textAlignment w:val="baseline"/>
        <w:rPr>
          <w:rFonts w:cs="Tahoma"/>
          <w:szCs w:val="20"/>
        </w:rPr>
      </w:pPr>
      <w:r w:rsidRPr="00CC00D4">
        <w:rPr>
          <w:rFonts w:cs="Tahoma"/>
          <w:bCs/>
          <w:szCs w:val="20"/>
        </w:rPr>
        <w:t>L’ammontare del compenso pattuito;</w:t>
      </w:r>
    </w:p>
    <w:p w14:paraId="1382781A" w14:textId="77777777" w:rsidR="002558B3" w:rsidRPr="00CC00D4" w:rsidRDefault="002558B3">
      <w:pPr>
        <w:pStyle w:val="Paragrafoelenco"/>
        <w:numPr>
          <w:ilvl w:val="0"/>
          <w:numId w:val="49"/>
        </w:numPr>
        <w:autoSpaceDN w:val="0"/>
        <w:ind w:left="709" w:hanging="357"/>
        <w:contextualSpacing/>
        <w:textAlignment w:val="baseline"/>
        <w:rPr>
          <w:rFonts w:cs="Tahoma"/>
          <w:szCs w:val="20"/>
        </w:rPr>
      </w:pPr>
      <w:r w:rsidRPr="00CC00D4">
        <w:rPr>
          <w:rFonts w:cs="Tahoma"/>
          <w:bCs/>
          <w:szCs w:val="20"/>
        </w:rPr>
        <w:t>Data e l’ora di inizio e fine prestazione;</w:t>
      </w:r>
    </w:p>
    <w:p w14:paraId="0F4639B1" w14:textId="77777777" w:rsidR="002558B3" w:rsidRPr="00CC00D4" w:rsidRDefault="002558B3">
      <w:pPr>
        <w:pStyle w:val="Paragrafoelenco"/>
        <w:numPr>
          <w:ilvl w:val="0"/>
          <w:numId w:val="49"/>
        </w:numPr>
        <w:autoSpaceDN w:val="0"/>
        <w:ind w:left="709"/>
        <w:textAlignment w:val="baseline"/>
        <w:rPr>
          <w:rFonts w:cs="Tahoma"/>
          <w:szCs w:val="20"/>
        </w:rPr>
      </w:pPr>
      <w:r w:rsidRPr="00CC00D4">
        <w:rPr>
          <w:rFonts w:cs="Tahoma"/>
          <w:bCs/>
          <w:szCs w:val="20"/>
        </w:rPr>
        <w:t xml:space="preserve">L’oggetto della prestazione.  </w:t>
      </w:r>
    </w:p>
    <w:p w14:paraId="141FF04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analogia con diritti già presenti nel rapporto di lavoro dipendente, il prestatore di lavoro occasionale:</w:t>
      </w:r>
    </w:p>
    <w:p w14:paraId="28519761" w14:textId="77777777" w:rsidR="002558B3" w:rsidRPr="00CC00D4" w:rsidRDefault="002558B3">
      <w:pPr>
        <w:pStyle w:val="Paragrafoelenco"/>
        <w:numPr>
          <w:ilvl w:val="0"/>
          <w:numId w:val="48"/>
        </w:numPr>
        <w:autoSpaceDN w:val="0"/>
        <w:ind w:left="709" w:hanging="357"/>
        <w:contextualSpacing/>
        <w:textAlignment w:val="baseline"/>
        <w:rPr>
          <w:rFonts w:cs="Tahoma"/>
          <w:szCs w:val="20"/>
        </w:rPr>
      </w:pPr>
      <w:r w:rsidRPr="00CC00D4">
        <w:rPr>
          <w:rFonts w:cs="Tahoma"/>
          <w:bCs/>
          <w:szCs w:val="20"/>
        </w:rPr>
        <w:t>In materia di orario di lavoro, è destinatario delle tutele su riposo giornaliero, pause e riposi settimanali;</w:t>
      </w:r>
    </w:p>
    <w:p w14:paraId="5D2937EF" w14:textId="77777777" w:rsidR="002558B3" w:rsidRPr="00CC00D4" w:rsidRDefault="002558B3">
      <w:pPr>
        <w:pStyle w:val="Paragrafoelenco"/>
        <w:numPr>
          <w:ilvl w:val="0"/>
          <w:numId w:val="48"/>
        </w:numPr>
        <w:autoSpaceDN w:val="0"/>
        <w:ind w:left="709" w:hanging="357"/>
        <w:contextualSpacing/>
        <w:textAlignment w:val="baseline"/>
        <w:rPr>
          <w:rFonts w:cs="Tahoma"/>
          <w:szCs w:val="20"/>
        </w:rPr>
      </w:pPr>
      <w:r w:rsidRPr="00CC00D4">
        <w:rPr>
          <w:rFonts w:cs="Tahoma"/>
          <w:bCs/>
          <w:szCs w:val="20"/>
        </w:rPr>
        <w:t>In materia di salute e sicurezza sui luoghi di lavoro, gli spettano i diritti previsti per la generalità dei lavoratori dipendenti;</w:t>
      </w:r>
    </w:p>
    <w:p w14:paraId="1153A18C" w14:textId="77777777" w:rsidR="002558B3" w:rsidRPr="00CC00D4" w:rsidRDefault="001105A9">
      <w:pPr>
        <w:pStyle w:val="Paragrafoelenco"/>
        <w:numPr>
          <w:ilvl w:val="0"/>
          <w:numId w:val="48"/>
        </w:numPr>
        <w:autoSpaceDN w:val="0"/>
        <w:ind w:left="709" w:hanging="357"/>
        <w:contextualSpacing/>
        <w:textAlignment w:val="baseline"/>
        <w:rPr>
          <w:rFonts w:cs="Tahoma"/>
          <w:szCs w:val="20"/>
        </w:rPr>
      </w:pPr>
      <w:r w:rsidRPr="00CC00D4">
        <w:rPr>
          <w:rFonts w:cs="Tahoma"/>
          <w:bCs/>
          <w:szCs w:val="20"/>
        </w:rPr>
        <w:t>È</w:t>
      </w:r>
      <w:r w:rsidR="002558B3" w:rsidRPr="00CC00D4">
        <w:rPr>
          <w:rFonts w:cs="Tahoma"/>
          <w:bCs/>
          <w:szCs w:val="20"/>
        </w:rPr>
        <w:t xml:space="preserve"> destinatario delle coperture assicurative Invalidità – Vecchiaia – Superstiti (IVS) presso la Gestione Separata INPS ed INAIL contro gli infortuni sul lavoro e le malattie professionali;</w:t>
      </w:r>
    </w:p>
    <w:p w14:paraId="5069238B" w14:textId="77777777" w:rsidR="002558B3" w:rsidRPr="00CC00D4" w:rsidRDefault="002558B3">
      <w:pPr>
        <w:pStyle w:val="Paragrafoelenco"/>
        <w:numPr>
          <w:ilvl w:val="0"/>
          <w:numId w:val="48"/>
        </w:numPr>
        <w:autoSpaceDN w:val="0"/>
        <w:ind w:left="709"/>
        <w:textAlignment w:val="baseline"/>
        <w:rPr>
          <w:rFonts w:cs="Tahoma"/>
          <w:szCs w:val="20"/>
        </w:rPr>
      </w:pPr>
      <w:r w:rsidRPr="00CC00D4">
        <w:rPr>
          <w:rFonts w:cs="Tahoma"/>
          <w:bCs/>
          <w:szCs w:val="20"/>
        </w:rPr>
        <w:t>Riceve un compenso fissato con l’utilizzatore, comunque non inferiore ad un minimo orario di 9 euro netti (l’importo giornaliero dev’essere pari almeno a 36 euro equivalenti alla remunerazione di 4 ore lavorative, anche se la durata effettiva della prestazione è inferiore).</w:t>
      </w:r>
    </w:p>
    <w:p w14:paraId="6C85615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Una volta effettuata la prestazione questa dev’essere validata dall’utilizzatore. Successivamente l’INPS, prelevando l’ammontare dal portafoglio telematico dell’utilizzatore, provvede a liquidare il compenso al prestatore, entro il giorno 15 del mese successivo quello di svolgimento del lavoro.</w:t>
      </w:r>
    </w:p>
    <w:p w14:paraId="53F50CC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Rispetto al compenso minimo di 9 euro netti all’ora, è necessario aggiungere:</w:t>
      </w:r>
    </w:p>
    <w:p w14:paraId="7AF7AF44" w14:textId="77777777" w:rsidR="002558B3" w:rsidRPr="00CC00D4" w:rsidRDefault="002558B3">
      <w:pPr>
        <w:pStyle w:val="Paragrafoelenco"/>
        <w:numPr>
          <w:ilvl w:val="0"/>
          <w:numId w:val="50"/>
        </w:numPr>
        <w:autoSpaceDN w:val="0"/>
        <w:ind w:left="709" w:hanging="357"/>
        <w:contextualSpacing/>
        <w:textAlignment w:val="baseline"/>
        <w:rPr>
          <w:rFonts w:cs="Tahoma"/>
          <w:szCs w:val="20"/>
        </w:rPr>
      </w:pPr>
      <w:r w:rsidRPr="00CC00D4">
        <w:rPr>
          <w:rFonts w:cs="Tahoma"/>
          <w:bCs/>
          <w:szCs w:val="20"/>
        </w:rPr>
        <w:t>Euro 2,97 a titolo di contributi INPS (carico utilizzatore) pari al 33% del compenso;</w:t>
      </w:r>
    </w:p>
    <w:p w14:paraId="0B0BAB68" w14:textId="77777777" w:rsidR="002558B3" w:rsidRPr="00CC00D4" w:rsidRDefault="002558B3">
      <w:pPr>
        <w:pStyle w:val="Paragrafoelenco"/>
        <w:numPr>
          <w:ilvl w:val="0"/>
          <w:numId w:val="50"/>
        </w:numPr>
        <w:autoSpaceDN w:val="0"/>
        <w:ind w:left="709" w:hanging="357"/>
        <w:contextualSpacing/>
        <w:textAlignment w:val="baseline"/>
        <w:rPr>
          <w:rFonts w:cs="Tahoma"/>
          <w:szCs w:val="20"/>
        </w:rPr>
      </w:pPr>
      <w:r w:rsidRPr="00CC00D4">
        <w:rPr>
          <w:rFonts w:cs="Tahoma"/>
          <w:bCs/>
          <w:szCs w:val="20"/>
        </w:rPr>
        <w:t>Euro 0,32 a titolo di contributi INAIL (carico utilizzatore) equivalenti al 3,5% del compenso;</w:t>
      </w:r>
    </w:p>
    <w:p w14:paraId="59BB773E" w14:textId="77777777" w:rsidR="002558B3" w:rsidRPr="00CC00D4" w:rsidRDefault="002558B3">
      <w:pPr>
        <w:pStyle w:val="Paragrafoelenco"/>
        <w:numPr>
          <w:ilvl w:val="0"/>
          <w:numId w:val="50"/>
        </w:numPr>
        <w:autoSpaceDN w:val="0"/>
        <w:ind w:left="709"/>
        <w:textAlignment w:val="baseline"/>
        <w:rPr>
          <w:rFonts w:cs="Tahoma"/>
          <w:szCs w:val="20"/>
        </w:rPr>
      </w:pPr>
      <w:r w:rsidRPr="00CC00D4">
        <w:rPr>
          <w:rFonts w:cs="Tahoma"/>
          <w:bCs/>
          <w:szCs w:val="20"/>
        </w:rPr>
        <w:t>Euro 0,12 a titolo di oneri di gestione (carico utilizzatore) equivalenti all’1% del compenso;</w:t>
      </w:r>
    </w:p>
    <w:p w14:paraId="07DA63C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un costo complessivo orario di 12,41 euro.</w:t>
      </w:r>
    </w:p>
    <w:p w14:paraId="6032DCD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L’accredito dei contributi avviene da parte dell’INPS, così come il trasferimento dei premi all’INAIL.</w:t>
      </w:r>
    </w:p>
    <w:p w14:paraId="1A4E7D72"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bookmarkStart w:id="29" w:name="_Toc92386448"/>
    </w:p>
    <w:p w14:paraId="502F3C61" w14:textId="7E43E46F" w:rsidR="002558B3" w:rsidRPr="00CC00D4" w:rsidRDefault="002558B3" w:rsidP="00AB649D">
      <w:pPr>
        <w:pStyle w:val="Titolo3"/>
      </w:pPr>
      <w:bookmarkStart w:id="30" w:name="__RefHeading__4364_1479815270"/>
      <w:bookmarkStart w:id="31" w:name="_Toc124266210"/>
      <w:r w:rsidRPr="00CC00D4">
        <w:lastRenderedPageBreak/>
        <w:t>1.4.2 Settore agricolo</w:t>
      </w:r>
      <w:bookmarkEnd w:id="29"/>
      <w:bookmarkEnd w:id="30"/>
      <w:bookmarkEnd w:id="31"/>
    </w:p>
    <w:p w14:paraId="3F2C376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particolarità riguardanti le prestazioni occasionali nel settore agricolo, sono limitate a:</w:t>
      </w:r>
    </w:p>
    <w:p w14:paraId="1E55F596" w14:textId="77777777" w:rsidR="002558B3" w:rsidRPr="00CC00D4" w:rsidRDefault="002558B3">
      <w:pPr>
        <w:pStyle w:val="Paragrafoelenco"/>
        <w:numPr>
          <w:ilvl w:val="0"/>
          <w:numId w:val="55"/>
        </w:numPr>
        <w:autoSpaceDN w:val="0"/>
        <w:ind w:left="709" w:hanging="357"/>
        <w:contextualSpacing/>
        <w:textAlignment w:val="baseline"/>
        <w:rPr>
          <w:rFonts w:cs="Tahoma"/>
          <w:szCs w:val="20"/>
        </w:rPr>
      </w:pPr>
      <w:r w:rsidRPr="00CC00D4">
        <w:rPr>
          <w:rFonts w:cs="Tahoma"/>
          <w:bCs/>
          <w:szCs w:val="20"/>
        </w:rPr>
        <w:t>Soggetti prestatori;</w:t>
      </w:r>
    </w:p>
    <w:p w14:paraId="62BB3170" w14:textId="77777777" w:rsidR="002558B3" w:rsidRPr="00CC00D4" w:rsidRDefault="002558B3">
      <w:pPr>
        <w:pStyle w:val="Paragrafoelenco"/>
        <w:numPr>
          <w:ilvl w:val="0"/>
          <w:numId w:val="55"/>
        </w:numPr>
        <w:autoSpaceDN w:val="0"/>
        <w:ind w:left="709" w:hanging="357"/>
        <w:contextualSpacing/>
        <w:textAlignment w:val="baseline"/>
        <w:rPr>
          <w:rFonts w:cs="Tahoma"/>
          <w:szCs w:val="20"/>
        </w:rPr>
      </w:pPr>
      <w:r w:rsidRPr="00CC00D4">
        <w:rPr>
          <w:rFonts w:cs="Tahoma"/>
          <w:bCs/>
          <w:szCs w:val="20"/>
        </w:rPr>
        <w:t>Modalità di comunicazione della prestazione;</w:t>
      </w:r>
    </w:p>
    <w:p w14:paraId="42648D7F" w14:textId="77777777" w:rsidR="002558B3" w:rsidRPr="00CC00D4" w:rsidRDefault="002558B3">
      <w:pPr>
        <w:pStyle w:val="Paragrafoelenco"/>
        <w:numPr>
          <w:ilvl w:val="0"/>
          <w:numId w:val="55"/>
        </w:numPr>
        <w:autoSpaceDN w:val="0"/>
        <w:ind w:left="709"/>
        <w:textAlignment w:val="baseline"/>
        <w:rPr>
          <w:rFonts w:cs="Tahoma"/>
          <w:szCs w:val="20"/>
        </w:rPr>
      </w:pPr>
      <w:r w:rsidRPr="00CC00D4">
        <w:rPr>
          <w:rFonts w:cs="Tahoma"/>
          <w:bCs/>
          <w:szCs w:val="20"/>
        </w:rPr>
        <w:t>Compenso.</w:t>
      </w:r>
    </w:p>
    <w:p w14:paraId="26952BF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Nello specifico, il contratto di prestazione occasionale è ammesso per le attività rese da:</w:t>
      </w:r>
    </w:p>
    <w:p w14:paraId="43C53D23" w14:textId="77777777" w:rsidR="002558B3" w:rsidRPr="00CC00D4" w:rsidRDefault="002558B3">
      <w:pPr>
        <w:pStyle w:val="Paragrafoelenco"/>
        <w:numPr>
          <w:ilvl w:val="0"/>
          <w:numId w:val="56"/>
        </w:numPr>
        <w:autoSpaceDN w:val="0"/>
        <w:ind w:left="709" w:hanging="357"/>
        <w:contextualSpacing/>
        <w:textAlignment w:val="baseline"/>
        <w:rPr>
          <w:rFonts w:cs="Tahoma"/>
          <w:szCs w:val="20"/>
        </w:rPr>
      </w:pPr>
      <w:r w:rsidRPr="00CC00D4">
        <w:rPr>
          <w:rFonts w:cs="Tahoma"/>
          <w:bCs/>
          <w:szCs w:val="20"/>
        </w:rPr>
        <w:t>Titolari di pensione di vecchiaia o invalidità;</w:t>
      </w:r>
    </w:p>
    <w:p w14:paraId="00C73259" w14:textId="77777777" w:rsidR="002558B3" w:rsidRPr="00CC00D4" w:rsidRDefault="002558B3">
      <w:pPr>
        <w:pStyle w:val="Paragrafoelenco"/>
        <w:numPr>
          <w:ilvl w:val="0"/>
          <w:numId w:val="56"/>
        </w:numPr>
        <w:autoSpaceDN w:val="0"/>
        <w:ind w:left="709" w:hanging="357"/>
        <w:contextualSpacing/>
        <w:textAlignment w:val="baseline"/>
        <w:rPr>
          <w:rFonts w:cs="Tahoma"/>
          <w:szCs w:val="20"/>
        </w:rPr>
      </w:pPr>
      <w:r w:rsidRPr="00CC00D4">
        <w:rPr>
          <w:rFonts w:cs="Tahoma"/>
          <w:bCs/>
          <w:szCs w:val="20"/>
        </w:rPr>
        <w:t>Giovani con meno di 25 anni iscritti ad un ciclo di studi presso istituti scolastici o università;</w:t>
      </w:r>
    </w:p>
    <w:p w14:paraId="74E33082" w14:textId="77777777" w:rsidR="002558B3" w:rsidRPr="00CC00D4" w:rsidRDefault="002558B3">
      <w:pPr>
        <w:pStyle w:val="Paragrafoelenco"/>
        <w:numPr>
          <w:ilvl w:val="0"/>
          <w:numId w:val="56"/>
        </w:numPr>
        <w:autoSpaceDN w:val="0"/>
        <w:ind w:left="709" w:hanging="357"/>
        <w:contextualSpacing/>
        <w:textAlignment w:val="baseline"/>
        <w:rPr>
          <w:rFonts w:cs="Tahoma"/>
          <w:szCs w:val="20"/>
        </w:rPr>
      </w:pPr>
      <w:r w:rsidRPr="00CC00D4">
        <w:rPr>
          <w:rFonts w:cs="Tahoma"/>
          <w:bCs/>
          <w:szCs w:val="20"/>
        </w:rPr>
        <w:t>Disoccupati;</w:t>
      </w:r>
    </w:p>
    <w:p w14:paraId="4AC8E390" w14:textId="77777777" w:rsidR="002558B3" w:rsidRPr="00CC00D4" w:rsidRDefault="002558B3">
      <w:pPr>
        <w:pStyle w:val="Paragrafoelenco"/>
        <w:numPr>
          <w:ilvl w:val="0"/>
          <w:numId w:val="56"/>
        </w:numPr>
        <w:autoSpaceDN w:val="0"/>
        <w:ind w:left="709"/>
        <w:textAlignment w:val="baseline"/>
        <w:rPr>
          <w:rFonts w:cs="Tahoma"/>
          <w:szCs w:val="20"/>
        </w:rPr>
      </w:pPr>
      <w:r w:rsidRPr="00CC00D4">
        <w:rPr>
          <w:rFonts w:cs="Tahoma"/>
          <w:bCs/>
          <w:szCs w:val="20"/>
        </w:rPr>
        <w:t>Percettori di prestazioni integrative del salario ovvero altre prestazioni di sostegno del reddito;</w:t>
      </w:r>
    </w:p>
    <w:p w14:paraId="17CEE5C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patto che i soggetti citati non siano stati iscritti l’anno precedente negli elenchi anagrafici dei lavoratori agricoli.</w:t>
      </w:r>
    </w:p>
    <w:p w14:paraId="7750D9C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L’utilizzatore è tenuto a comunicare, almeno un’ora prima lo svolgimento della prestazione, i dati richiesti dall’INPS (descritti nel paragrafo precedente) in particolare la data di inizio ed il monte orario complessivo presunto, con riferimento ad un arco temporale non superiore a 10 giorni consecutivi.</w:t>
      </w:r>
    </w:p>
    <w:p w14:paraId="73C0929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compenso minimo orario è determinato sulla base dei livelli salariali mensili degli operai agricoli, stabiliti dal CCNL stipulato dalle organizzazioni sindacali maggiormente rappresentative a livello nazionale (Contratto Collettivo Nazionale di Lavoro per gli operai agricoli e florovivaisti), cui aggiungere il “terzo elemento retributivo”.</w:t>
      </w:r>
    </w:p>
    <w:p w14:paraId="3DC5AF0F"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bookmarkStart w:id="32" w:name="_Toc92386449"/>
    </w:p>
    <w:p w14:paraId="63D9AF6F" w14:textId="0D946F06" w:rsidR="002558B3" w:rsidRPr="00CC00D4" w:rsidRDefault="002558B3" w:rsidP="00AB649D">
      <w:pPr>
        <w:pStyle w:val="Titolo3"/>
      </w:pPr>
      <w:bookmarkStart w:id="33" w:name="__RefHeading__4366_1479815270"/>
      <w:bookmarkStart w:id="34" w:name="_Toc124266211"/>
      <w:r w:rsidRPr="00CC00D4">
        <w:t>1.4.3 Privati</w:t>
      </w:r>
      <w:bookmarkEnd w:id="32"/>
      <w:bookmarkEnd w:id="33"/>
      <w:bookmarkEnd w:id="34"/>
    </w:p>
    <w:p w14:paraId="312C1F2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di fuori dell’esercizio di un’impresa o di una professione, i privati possono ricorrere a prestazioni occasionali utilizzando il cosiddetto “Libretto Famiglia” INPS.</w:t>
      </w:r>
    </w:p>
    <w:p w14:paraId="04B2D46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attività ammesse riguardano:</w:t>
      </w:r>
    </w:p>
    <w:p w14:paraId="5B8A918F" w14:textId="77777777" w:rsidR="002558B3" w:rsidRPr="00CC00D4" w:rsidRDefault="002558B3">
      <w:pPr>
        <w:pStyle w:val="Paragrafoelenco"/>
        <w:numPr>
          <w:ilvl w:val="0"/>
          <w:numId w:val="57"/>
        </w:numPr>
        <w:autoSpaceDN w:val="0"/>
        <w:ind w:left="709" w:hanging="357"/>
        <w:contextualSpacing/>
        <w:textAlignment w:val="baseline"/>
        <w:rPr>
          <w:rFonts w:cs="Tahoma"/>
          <w:szCs w:val="20"/>
        </w:rPr>
      </w:pPr>
      <w:r w:rsidRPr="00CC00D4">
        <w:rPr>
          <w:rFonts w:cs="Tahoma"/>
          <w:bCs/>
          <w:szCs w:val="20"/>
        </w:rPr>
        <w:t>Piccoli lavori domestici, quali pulizia, manutenzione, giardinaggio;</w:t>
      </w:r>
    </w:p>
    <w:p w14:paraId="6DFF129B" w14:textId="77777777" w:rsidR="002558B3" w:rsidRPr="00CC00D4" w:rsidRDefault="002558B3">
      <w:pPr>
        <w:pStyle w:val="Paragrafoelenco"/>
        <w:numPr>
          <w:ilvl w:val="0"/>
          <w:numId w:val="57"/>
        </w:numPr>
        <w:autoSpaceDN w:val="0"/>
        <w:ind w:left="709" w:hanging="357"/>
        <w:contextualSpacing/>
        <w:textAlignment w:val="baseline"/>
        <w:rPr>
          <w:rFonts w:cs="Tahoma"/>
          <w:szCs w:val="20"/>
        </w:rPr>
      </w:pPr>
      <w:r w:rsidRPr="00CC00D4">
        <w:rPr>
          <w:rFonts w:cs="Tahoma"/>
          <w:bCs/>
          <w:szCs w:val="20"/>
        </w:rPr>
        <w:t>Assistenza domiciliare a persone anziane, bambini, malati o portatori di handicap;</w:t>
      </w:r>
    </w:p>
    <w:p w14:paraId="6D79C795" w14:textId="77777777" w:rsidR="002558B3" w:rsidRPr="00CC00D4" w:rsidRDefault="002558B3">
      <w:pPr>
        <w:pStyle w:val="Paragrafoelenco"/>
        <w:numPr>
          <w:ilvl w:val="0"/>
          <w:numId w:val="57"/>
        </w:numPr>
        <w:autoSpaceDN w:val="0"/>
        <w:ind w:left="709"/>
        <w:textAlignment w:val="baseline"/>
        <w:rPr>
          <w:rFonts w:cs="Tahoma"/>
          <w:szCs w:val="20"/>
        </w:rPr>
      </w:pPr>
      <w:r w:rsidRPr="00CC00D4">
        <w:rPr>
          <w:rFonts w:cs="Tahoma"/>
          <w:bCs/>
          <w:szCs w:val="20"/>
        </w:rPr>
        <w:t>Insegnamento privato supplementare.</w:t>
      </w:r>
    </w:p>
    <w:p w14:paraId="73EA81F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pari di quanto avviene per imprese e professionisti:</w:t>
      </w:r>
    </w:p>
    <w:p w14:paraId="06888453" w14:textId="77777777" w:rsidR="002558B3" w:rsidRPr="00CC00D4" w:rsidRDefault="002558B3">
      <w:pPr>
        <w:pStyle w:val="Paragrafoelenco"/>
        <w:numPr>
          <w:ilvl w:val="0"/>
          <w:numId w:val="58"/>
        </w:numPr>
        <w:autoSpaceDN w:val="0"/>
        <w:ind w:left="709" w:hanging="357"/>
        <w:contextualSpacing/>
        <w:textAlignment w:val="baseline"/>
        <w:rPr>
          <w:rFonts w:cs="Tahoma"/>
          <w:szCs w:val="20"/>
        </w:rPr>
      </w:pPr>
      <w:r w:rsidRPr="00CC00D4">
        <w:rPr>
          <w:rFonts w:cs="Tahoma"/>
          <w:bCs/>
          <w:szCs w:val="20"/>
        </w:rPr>
        <w:lastRenderedPageBreak/>
        <w:t>Utilizzatore e prestatore sono tenuti ad iscriversi alla piattaforma INPS;</w:t>
      </w:r>
    </w:p>
    <w:p w14:paraId="3E49226B" w14:textId="77777777" w:rsidR="002558B3" w:rsidRPr="00CC00D4" w:rsidRDefault="002558B3">
      <w:pPr>
        <w:pStyle w:val="Paragrafoelenco"/>
        <w:numPr>
          <w:ilvl w:val="0"/>
          <w:numId w:val="58"/>
        </w:numPr>
        <w:autoSpaceDN w:val="0"/>
        <w:ind w:left="709" w:hanging="357"/>
        <w:contextualSpacing/>
        <w:textAlignment w:val="baseline"/>
        <w:rPr>
          <w:rFonts w:cs="Tahoma"/>
          <w:szCs w:val="20"/>
        </w:rPr>
      </w:pPr>
      <w:r w:rsidRPr="00CC00D4">
        <w:rPr>
          <w:rFonts w:cs="Tahoma"/>
          <w:bCs/>
          <w:szCs w:val="20"/>
        </w:rPr>
        <w:t>L’utilizzatore alimenta il proprio portafoglio virtuale versando le somme a mezzo modello F24 o tramite la piattaforma INPS. Ogni versamento dev’essere pari a 10 euro o a multipli di 10 euro;</w:t>
      </w:r>
    </w:p>
    <w:p w14:paraId="16BA3A8A" w14:textId="77777777" w:rsidR="002558B3" w:rsidRPr="00CC00D4" w:rsidRDefault="002558B3">
      <w:pPr>
        <w:pStyle w:val="Paragrafoelenco"/>
        <w:numPr>
          <w:ilvl w:val="0"/>
          <w:numId w:val="58"/>
        </w:numPr>
        <w:autoSpaceDN w:val="0"/>
        <w:ind w:left="709"/>
        <w:textAlignment w:val="baseline"/>
        <w:rPr>
          <w:rFonts w:cs="Tahoma"/>
          <w:szCs w:val="20"/>
        </w:rPr>
      </w:pPr>
      <w:r w:rsidRPr="00CC00D4">
        <w:rPr>
          <w:rFonts w:cs="Tahoma"/>
          <w:bCs/>
          <w:szCs w:val="20"/>
        </w:rPr>
        <w:t>Nel corso del rapporto il prestatore ha diritto al rispetto dei riposi e delle altre tutele previste in materia di orario di lavoro, oltre all’assicurazione IVS ed INAIL (eccezion fatta per il rispetto della normativa in materia di salute e sicurezza sul lavoro).</w:t>
      </w:r>
    </w:p>
    <w:p w14:paraId="0164878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compenso orario netto minimo è pari ad euro 8, cui si aggiungono (interamente a carico dell’utilizzatore):</w:t>
      </w:r>
    </w:p>
    <w:p w14:paraId="08B096F2" w14:textId="77777777" w:rsidR="002558B3" w:rsidRPr="00CC00D4" w:rsidRDefault="002558B3">
      <w:pPr>
        <w:pStyle w:val="Paragrafoelenco"/>
        <w:numPr>
          <w:ilvl w:val="0"/>
          <w:numId w:val="59"/>
        </w:numPr>
        <w:autoSpaceDN w:val="0"/>
        <w:ind w:left="709" w:hanging="357"/>
        <w:contextualSpacing/>
        <w:textAlignment w:val="baseline"/>
        <w:rPr>
          <w:rFonts w:cs="Tahoma"/>
          <w:szCs w:val="20"/>
        </w:rPr>
      </w:pPr>
      <w:r w:rsidRPr="00CC00D4">
        <w:rPr>
          <w:rFonts w:cs="Tahoma"/>
          <w:bCs/>
          <w:szCs w:val="20"/>
        </w:rPr>
        <w:t>1,65 euro a titolo di contributi INPS;</w:t>
      </w:r>
    </w:p>
    <w:p w14:paraId="799B8546" w14:textId="77777777" w:rsidR="002558B3" w:rsidRPr="00CC00D4" w:rsidRDefault="002558B3">
      <w:pPr>
        <w:pStyle w:val="Paragrafoelenco"/>
        <w:numPr>
          <w:ilvl w:val="0"/>
          <w:numId w:val="59"/>
        </w:numPr>
        <w:autoSpaceDN w:val="0"/>
        <w:ind w:left="709" w:hanging="357"/>
        <w:contextualSpacing/>
        <w:textAlignment w:val="baseline"/>
        <w:rPr>
          <w:rFonts w:cs="Tahoma"/>
          <w:szCs w:val="20"/>
        </w:rPr>
      </w:pPr>
      <w:r w:rsidRPr="00CC00D4">
        <w:rPr>
          <w:rFonts w:cs="Tahoma"/>
          <w:bCs/>
          <w:szCs w:val="20"/>
        </w:rPr>
        <w:t>0,25 euro per premi INAIL;</w:t>
      </w:r>
    </w:p>
    <w:p w14:paraId="5E54BF15" w14:textId="77777777" w:rsidR="002558B3" w:rsidRPr="00CC00D4" w:rsidRDefault="002558B3">
      <w:pPr>
        <w:pStyle w:val="Paragrafoelenco"/>
        <w:numPr>
          <w:ilvl w:val="0"/>
          <w:numId w:val="59"/>
        </w:numPr>
        <w:autoSpaceDN w:val="0"/>
        <w:ind w:left="709"/>
        <w:textAlignment w:val="baseline"/>
        <w:rPr>
          <w:rFonts w:cs="Tahoma"/>
          <w:szCs w:val="20"/>
        </w:rPr>
      </w:pPr>
      <w:r w:rsidRPr="00CC00D4">
        <w:rPr>
          <w:rFonts w:cs="Tahoma"/>
          <w:bCs/>
          <w:szCs w:val="20"/>
        </w:rPr>
        <w:t>0,10 euro per oneri gestionali;</w:t>
      </w:r>
    </w:p>
    <w:p w14:paraId="7433796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un costo complessivo orario di 10 euro / ora.</w:t>
      </w:r>
    </w:p>
    <w:p w14:paraId="75C4FFB0" w14:textId="77777777" w:rsidR="002558B3" w:rsidRPr="00CC00D4" w:rsidRDefault="002558B3" w:rsidP="0051729A">
      <w:r w:rsidRPr="00CC00D4">
        <w:t>Una volta effettuata la prestazione:</w:t>
      </w:r>
    </w:p>
    <w:p w14:paraId="219207A3" w14:textId="77777777" w:rsidR="002558B3" w:rsidRPr="00CC00D4" w:rsidRDefault="002558B3">
      <w:pPr>
        <w:pStyle w:val="Paragrafoelenco"/>
        <w:numPr>
          <w:ilvl w:val="0"/>
          <w:numId w:val="61"/>
        </w:numPr>
        <w:autoSpaceDN w:val="0"/>
        <w:ind w:left="709" w:hanging="357"/>
        <w:contextualSpacing/>
        <w:textAlignment w:val="baseline"/>
        <w:rPr>
          <w:rFonts w:cs="Tahoma"/>
          <w:szCs w:val="20"/>
        </w:rPr>
      </w:pPr>
      <w:r w:rsidRPr="00CC00D4">
        <w:rPr>
          <w:rFonts w:cs="Tahoma"/>
          <w:bCs/>
          <w:szCs w:val="20"/>
        </w:rPr>
        <w:t>L’utilizzatore, entro il giorno 3 del mese successivo, comunica all’INPS i dati identificativi del prestatore, il compenso pattuito, il luogo di svolgimento, l’ambito e la durata della prestazione;</w:t>
      </w:r>
    </w:p>
    <w:p w14:paraId="7D227C8C" w14:textId="09C482FB" w:rsidR="00901851" w:rsidRPr="00CC00D4" w:rsidRDefault="002558B3">
      <w:pPr>
        <w:pStyle w:val="Paragrafoelenco"/>
        <w:numPr>
          <w:ilvl w:val="0"/>
          <w:numId w:val="61"/>
        </w:numPr>
        <w:autoSpaceDN w:val="0"/>
        <w:ind w:left="709"/>
        <w:textAlignment w:val="baseline"/>
        <w:rPr>
          <w:rFonts w:cs="Tahoma"/>
          <w:szCs w:val="20"/>
        </w:rPr>
      </w:pPr>
      <w:r w:rsidRPr="00CC00D4">
        <w:rPr>
          <w:rFonts w:cs="Tahoma"/>
          <w:bCs/>
          <w:szCs w:val="20"/>
        </w:rPr>
        <w:t>Il prestatore riceve il compenso dall’INPS entro il giorno 15 del mese successivo la prestazione, con le modalità descritte per imprese e professionisti.</w:t>
      </w:r>
    </w:p>
    <w:p w14:paraId="0B516821" w14:textId="77777777" w:rsidR="00634069" w:rsidRPr="00CC00D4" w:rsidRDefault="00634069" w:rsidP="00AB649D">
      <w:pPr>
        <w:pStyle w:val="Titolo2"/>
      </w:pPr>
    </w:p>
    <w:p w14:paraId="29DEB6D6" w14:textId="48B2B833" w:rsidR="00901851" w:rsidRPr="00CC00D4" w:rsidRDefault="00901851" w:rsidP="00AB649D">
      <w:pPr>
        <w:pStyle w:val="Titolo2"/>
      </w:pPr>
      <w:bookmarkStart w:id="35" w:name="_Toc124266212"/>
      <w:commentRangeStart w:id="36"/>
      <w:r w:rsidRPr="00CC00D4">
        <w:t>1.</w:t>
      </w:r>
      <w:r w:rsidR="00464A63" w:rsidRPr="00CC00D4">
        <w:t>5</w:t>
      </w:r>
      <w:r w:rsidRPr="00CC00D4">
        <w:t xml:space="preserve"> Le novità della Legge di bilancio 2023</w:t>
      </w:r>
      <w:bookmarkEnd w:id="35"/>
    </w:p>
    <w:p w14:paraId="75EDB2EE" w14:textId="64F02E60" w:rsidR="00901851" w:rsidRPr="00CC00D4" w:rsidRDefault="00901851" w:rsidP="00807075">
      <w:r w:rsidRPr="00CC00D4">
        <w:t xml:space="preserve">Nella Gazzetta ufficiale del 29 dicembre 2022, Serie generale numero 303, Supplemento ordinario n. 43/L, è stata pubblicata la Legge 29 dicembre 2022 numero 197 contenente il “Bilancio di previsione dello Stato per l’anno finanziario 2023 e bilancio pluriennale per il triennio 2023 – 2025”. </w:t>
      </w:r>
    </w:p>
    <w:p w14:paraId="622A4973" w14:textId="33DB82A2" w:rsidR="002558B3" w:rsidRPr="00CC00D4" w:rsidRDefault="00901851" w:rsidP="00807075">
      <w:r w:rsidRPr="00CC00D4">
        <w:t xml:space="preserve">La norma, tra le altre cose, interviene </w:t>
      </w:r>
      <w:r w:rsidR="001E2595" w:rsidRPr="00CC00D4">
        <w:t>all’articolo 1, commi dal 342 al 354,</w:t>
      </w:r>
      <w:r w:rsidR="007470FE" w:rsidRPr="00CC00D4">
        <w:t xml:space="preserve"> </w:t>
      </w:r>
      <w:r w:rsidR="001E2595" w:rsidRPr="00CC00D4">
        <w:t xml:space="preserve">modificando la disciplina in materia di prestazioni occasionali, definita dall’articolo 54-bis, Decreto – legge 24 aprile 2017 numero 50, convertito, con modificazioni, dalla Legge 21 giugno 2017 numero 96. </w:t>
      </w:r>
    </w:p>
    <w:p w14:paraId="22C6CAC5" w14:textId="77777777" w:rsidR="00634069" w:rsidRPr="00CC00D4" w:rsidRDefault="00634069" w:rsidP="00AB649D">
      <w:pPr>
        <w:pStyle w:val="Titolo3"/>
        <w:rPr>
          <w:rFonts w:cs="Calibri"/>
        </w:rPr>
      </w:pPr>
    </w:p>
    <w:p w14:paraId="6C26902B" w14:textId="4D14672B" w:rsidR="00464A63" w:rsidRPr="00CC00D4" w:rsidRDefault="00464A63" w:rsidP="00AB649D">
      <w:pPr>
        <w:pStyle w:val="Titolo3"/>
        <w:rPr>
          <w:rFonts w:cs="Calibri"/>
        </w:rPr>
      </w:pPr>
      <w:bookmarkStart w:id="37" w:name="_Toc124266213"/>
      <w:r w:rsidRPr="00CC00D4">
        <w:t>1.5.1 Cambia il tetto ai compensi per singolo utilizzatore</w:t>
      </w:r>
      <w:bookmarkEnd w:id="37"/>
    </w:p>
    <w:p w14:paraId="643386BD" w14:textId="08188482" w:rsidR="00807075" w:rsidRPr="00CC00D4" w:rsidRDefault="00807075" w:rsidP="00807075">
      <w:r w:rsidRPr="00CC00D4">
        <w:t xml:space="preserve">La prima modifica riguarda l’articolo 54-bis, comma 1, lettera b). In particolare, per ciascun utilizzatore, con riferimento alla totalità dei prestatori, la prestazione si definisce occasionale se l’importo complessivo non eccede, nel corso di un anno civile, la somma di 10 mila euro, in luogo dei precedenti 5 mila. </w:t>
      </w:r>
    </w:p>
    <w:p w14:paraId="2FA02720" w14:textId="0F096FC7" w:rsidR="00807075" w:rsidRPr="00CC00D4" w:rsidRDefault="00807075" w:rsidP="00807075">
      <w:r w:rsidRPr="00CC00D4">
        <w:lastRenderedPageBreak/>
        <w:t xml:space="preserve">La novella si applica (per espressa previsione del nuovo comma 1-bis) anche alle attività lavorative di natura occasionale svolte nell’ambito delle attività di discoteche, sale da ballo, night-club e simili, di cui al codice ATECO 93.29.1. </w:t>
      </w:r>
    </w:p>
    <w:p w14:paraId="7811CF1A" w14:textId="38F4CC9D" w:rsidR="00807075" w:rsidRPr="00CC00D4" w:rsidRDefault="00807075" w:rsidP="00807075">
      <w:r w:rsidRPr="00CC00D4">
        <w:t>Resta fermo, invece, il compenso massimo di 5 mila euro che il singolo prestatore può percepire, nel corso di un anno civile</w:t>
      </w:r>
      <w:r w:rsidR="00464A63" w:rsidRPr="00CC00D4">
        <w:t xml:space="preserve">, da più utilizzatori. </w:t>
      </w:r>
    </w:p>
    <w:p w14:paraId="225A6D24" w14:textId="77777777" w:rsidR="00634069" w:rsidRPr="00CC00D4" w:rsidRDefault="00634069" w:rsidP="00807075"/>
    <w:p w14:paraId="493F3FC7" w14:textId="2BDB6394" w:rsidR="00464A63" w:rsidRPr="00CC00D4" w:rsidRDefault="008F2734" w:rsidP="00AB649D">
      <w:pPr>
        <w:pStyle w:val="Titolo3"/>
      </w:pPr>
      <w:bookmarkStart w:id="38" w:name="_Toc124266214"/>
      <w:r w:rsidRPr="00CC00D4">
        <w:t xml:space="preserve">1.5.2 </w:t>
      </w:r>
      <w:r w:rsidR="00464A63" w:rsidRPr="00CC00D4">
        <w:t xml:space="preserve">Cambia il limite dimensionale per </w:t>
      </w:r>
      <w:r w:rsidRPr="00CC00D4">
        <w:t>imprese e professionisti</w:t>
      </w:r>
      <w:bookmarkEnd w:id="38"/>
    </w:p>
    <w:p w14:paraId="1A8801E7" w14:textId="34758128" w:rsidR="008F2734" w:rsidRPr="00CC00D4" w:rsidRDefault="008F2734" w:rsidP="008F2734">
      <w:r w:rsidRPr="00CC00D4">
        <w:t xml:space="preserve">L’articolo 1, comma 342, lettera d), punto 1) modifica il limite dimensionale per imprese e professionisti che ricorrono a prestazioni occasionali. </w:t>
      </w:r>
    </w:p>
    <w:p w14:paraId="518227D9" w14:textId="43F38FD1" w:rsidR="008F2734" w:rsidRPr="00CC00D4" w:rsidRDefault="008F2734" w:rsidP="008F2734">
      <w:r w:rsidRPr="00CC00D4">
        <w:t xml:space="preserve">Nello specifico, </w:t>
      </w:r>
      <w:r w:rsidR="00166CCD" w:rsidRPr="00CC00D4">
        <w:t>ritoccando</w:t>
      </w:r>
      <w:r w:rsidRPr="00CC00D4">
        <w:t xml:space="preserve"> il comma 14 dell’articolo 54-bis, si vieta il ricorso al contratto di prestazione occasionale da parte degli utilizzatori che hanno alle proprie dipendenze più di dieci lavoratori, in luogo del precedente limite di cinque. </w:t>
      </w:r>
    </w:p>
    <w:p w14:paraId="315CE17A" w14:textId="011400BC" w:rsidR="00A82603" w:rsidRPr="00CC00D4" w:rsidRDefault="00A82603" w:rsidP="008F2734">
      <w:r w:rsidRPr="00CC00D4">
        <w:t>Viene inoltre abrogata la norma che consentiva l’utilizzo delle prestazioni occasionali (articolo 54-</w:t>
      </w:r>
      <w:r w:rsidRPr="00CC00D4">
        <w:rPr>
          <w:i/>
          <w:iCs/>
        </w:rPr>
        <w:t>bis</w:t>
      </w:r>
      <w:r w:rsidRPr="00CC00D4">
        <w:t>, comma 14, lettera a) da parte delle “</w:t>
      </w:r>
      <w:r w:rsidRPr="00CC00D4">
        <w:rPr>
          <w:i/>
          <w:iCs/>
        </w:rPr>
        <w:t>aziende alberghiere e delle strutture ricettive che opera nel settore del turismo, per le attività lavorative rese dai soggetti di cui al comma 8, e che hanno alle proprie dipendenze fino a otto lavoratori</w:t>
      </w:r>
      <w:r w:rsidRPr="00CC00D4">
        <w:t xml:space="preserve">”. </w:t>
      </w:r>
    </w:p>
    <w:p w14:paraId="776CDB59" w14:textId="0219CA36" w:rsidR="00A82603" w:rsidRPr="00CC00D4" w:rsidRDefault="00A82603" w:rsidP="008F2734">
      <w:r w:rsidRPr="00CC00D4">
        <w:t xml:space="preserve">In sostanza, </w:t>
      </w:r>
      <w:r w:rsidR="00070946" w:rsidRPr="00CC00D4">
        <w:t>anche le aziende alberghiere e le strutture ricettive operanti nel settore del turismo</w:t>
      </w:r>
      <w:r w:rsidRPr="00CC00D4">
        <w:t xml:space="preserve"> potranno ricorrere a prestazioni occasionali se occupano fino a dieci lavoratori subordinati a tempo indeterminato. </w:t>
      </w:r>
    </w:p>
    <w:p w14:paraId="326F1BB6" w14:textId="77777777" w:rsidR="00634069" w:rsidRPr="00CC00D4" w:rsidRDefault="00634069" w:rsidP="008F2734"/>
    <w:p w14:paraId="3D7B2631" w14:textId="247DFB1F" w:rsidR="00464A63" w:rsidRPr="00CC00D4" w:rsidRDefault="00D96F46" w:rsidP="00AB649D">
      <w:pPr>
        <w:pStyle w:val="Titolo3"/>
      </w:pPr>
      <w:bookmarkStart w:id="39" w:name="_Toc124266215"/>
      <w:r w:rsidRPr="00CC00D4">
        <w:t xml:space="preserve">1.5.3 </w:t>
      </w:r>
      <w:r w:rsidR="00464A63" w:rsidRPr="00CC00D4">
        <w:t>Le novità per il settore agricolo</w:t>
      </w:r>
      <w:bookmarkEnd w:id="39"/>
    </w:p>
    <w:p w14:paraId="28B078CF" w14:textId="2DFDED79" w:rsidR="00070946" w:rsidRPr="00CC00D4" w:rsidRDefault="00070946" w:rsidP="00464A63">
      <w:r w:rsidRPr="00CC00D4">
        <w:t xml:space="preserve">La Manovra 2023 riscrive la disciplina </w:t>
      </w:r>
      <w:r w:rsidR="00E7449A" w:rsidRPr="00CC00D4">
        <w:t>delle prestazioni occasionali nel settore agricolo. Nello specifico, l’articolo 1, comma 343 afferma che al fine di “</w:t>
      </w:r>
      <w:r w:rsidR="00E7449A" w:rsidRPr="00CC00D4">
        <w:rPr>
          <w:i/>
          <w:iCs/>
        </w:rPr>
        <w:t>garantire la continuità produttiva delle imprese agricole e di creare le condizioni per facilitare il reperimento di manodopera per le attività stagionali, favorendo forme semplificate di utilizzo delle prestazioni di lavoro occasionale a tempo determinato in agricoltura</w:t>
      </w:r>
      <w:r w:rsidR="00837BA2" w:rsidRPr="00CC00D4">
        <w:rPr>
          <w:i/>
          <w:iCs/>
        </w:rPr>
        <w:t xml:space="preserve"> assicurando ai lavoratori le tutele previste dal rapporto di lavoro subordinato</w:t>
      </w:r>
      <w:r w:rsidR="00837BA2" w:rsidRPr="00CC00D4">
        <w:t xml:space="preserve">” si applica nel biennio 2023 – 2024 la normativa speciale descritta nei commi dal 344 al 354. </w:t>
      </w:r>
    </w:p>
    <w:p w14:paraId="018C170C" w14:textId="3D0E96ED" w:rsidR="00586660" w:rsidRPr="00CC00D4" w:rsidRDefault="00586660" w:rsidP="00464A63">
      <w:r w:rsidRPr="00CC00D4">
        <w:t xml:space="preserve">Nello specifico, a partire dal 2023, le aziende del settore agricolo, qualora abbiano alle proprie dipendenze fino a dieci lavoratori subordinati a tempo indeterminato, potranno utilizzare prestazioni occasionali per un periodo non superiore a quarantacinque giorni, per ciascun lavoratore, nel corso dell’anno solare. </w:t>
      </w:r>
    </w:p>
    <w:p w14:paraId="73C0D27E" w14:textId="37103EE1" w:rsidR="00586660" w:rsidRPr="00CC00D4" w:rsidRDefault="00586660" w:rsidP="00464A63">
      <w:r w:rsidRPr="00CC00D4">
        <w:lastRenderedPageBreak/>
        <w:t xml:space="preserve">Il contratto in parola può coinvolgere: </w:t>
      </w:r>
    </w:p>
    <w:p w14:paraId="4495760F" w14:textId="77777777" w:rsidR="008F2868" w:rsidRPr="00CC00D4" w:rsidRDefault="00586660">
      <w:pPr>
        <w:pStyle w:val="Paragrafoelenco"/>
        <w:numPr>
          <w:ilvl w:val="0"/>
          <w:numId w:val="212"/>
        </w:numPr>
        <w:ind w:left="709" w:hanging="357"/>
        <w:contextualSpacing/>
      </w:pPr>
      <w:r w:rsidRPr="00CC00D4">
        <w:t xml:space="preserve">Persone disoccupate, ai sensi dell’articolo 19 del Decreto legislativo 14 settembre 2015 numero 150, nonché percettori di NASpI o DIS-COLL, di cui, rispettivamente, agli articoli </w:t>
      </w:r>
      <w:r w:rsidR="008F2868" w:rsidRPr="00CC00D4">
        <w:t>1 e 15 del Decreto legislativo 4 marzo 2015 numero 22;</w:t>
      </w:r>
    </w:p>
    <w:p w14:paraId="37AFF0A4" w14:textId="0AE4E16B" w:rsidR="008F2868" w:rsidRPr="00CC00D4" w:rsidRDefault="008F2868">
      <w:pPr>
        <w:pStyle w:val="Paragrafoelenco"/>
        <w:numPr>
          <w:ilvl w:val="0"/>
          <w:numId w:val="212"/>
        </w:numPr>
        <w:ind w:left="709" w:hanging="357"/>
        <w:contextualSpacing/>
      </w:pPr>
      <w:r w:rsidRPr="00CC00D4">
        <w:t>Percettori del Reddito di cittadinanza o di ammortizzatori sociali;</w:t>
      </w:r>
    </w:p>
    <w:p w14:paraId="453CF369" w14:textId="66FC6B4D" w:rsidR="00586660" w:rsidRPr="00CC00D4" w:rsidRDefault="00586660">
      <w:pPr>
        <w:pStyle w:val="Paragrafoelenco"/>
        <w:numPr>
          <w:ilvl w:val="0"/>
          <w:numId w:val="212"/>
        </w:numPr>
        <w:ind w:left="709" w:hanging="357"/>
        <w:contextualSpacing/>
      </w:pPr>
      <w:r w:rsidRPr="00CC00D4">
        <w:t>Pensionati di vecchiaia o di anzianità;</w:t>
      </w:r>
    </w:p>
    <w:p w14:paraId="7CAD52FE" w14:textId="586B9EA4" w:rsidR="00586660" w:rsidRPr="00CC00D4" w:rsidRDefault="00586660">
      <w:pPr>
        <w:pStyle w:val="Paragrafoelenco"/>
        <w:numPr>
          <w:ilvl w:val="0"/>
          <w:numId w:val="212"/>
        </w:numPr>
        <w:ind w:left="709" w:hanging="357"/>
        <w:contextualSpacing/>
      </w:pPr>
      <w:r w:rsidRPr="00CC00D4">
        <w:t>Giovani con meno di ven</w:t>
      </w:r>
      <w:r w:rsidR="008F2868" w:rsidRPr="00CC00D4">
        <w:t>ticinque anni, se regolarmente iscritti a un ciclo di studi presso un istituto scolastico di qualsiasi ordine e grado, compatibilmente con gli impegni scolastici, ovvero in qualunque periodo dell’anno se iscritti all’università;</w:t>
      </w:r>
    </w:p>
    <w:p w14:paraId="26DA6D48" w14:textId="5424B151" w:rsidR="008F2868" w:rsidRPr="00CC00D4" w:rsidRDefault="008F2868">
      <w:pPr>
        <w:pStyle w:val="Paragrafoelenco"/>
        <w:numPr>
          <w:ilvl w:val="0"/>
          <w:numId w:val="212"/>
        </w:numPr>
        <w:ind w:left="709"/>
      </w:pPr>
      <w:r w:rsidRPr="00CC00D4">
        <w:t xml:space="preserve">Detenuti o internati, ammessi al lavoro esterno ai sensi dell’articolo 21 della Legge 26 luglio 1975 numero 354, nonché soggetti in semilibertà provenienti dalla detenzione o internati in semilibertà. </w:t>
      </w:r>
    </w:p>
    <w:p w14:paraId="1EB35090" w14:textId="6BB98CBA" w:rsidR="008F2868" w:rsidRPr="00CC00D4" w:rsidRDefault="008F2868" w:rsidP="008F2868">
      <w:r w:rsidRPr="00CC00D4">
        <w:t>I soggetti citati, ad eccezione dei pensionati, non devono aver avuto rapporti di lavoro subordinato</w:t>
      </w:r>
      <w:r w:rsidR="003C7D79" w:rsidRPr="00CC00D4">
        <w:t xml:space="preserve"> in agricoltura</w:t>
      </w:r>
      <w:r w:rsidR="00AD0331" w:rsidRPr="00CC00D4">
        <w:t xml:space="preserve"> (o</w:t>
      </w:r>
      <w:r w:rsidR="003C7D79" w:rsidRPr="00CC00D4">
        <w:t>,</w:t>
      </w:r>
      <w:r w:rsidR="00AD0331" w:rsidRPr="00CC00D4">
        <w:t xml:space="preserve"> comunque</w:t>
      </w:r>
      <w:r w:rsidR="003C7D79" w:rsidRPr="00CC00D4">
        <w:t>,</w:t>
      </w:r>
      <w:r w:rsidR="00AD0331" w:rsidRPr="00CC00D4">
        <w:t xml:space="preserve"> rapporti diversi da quelli previsti dalla disciplina</w:t>
      </w:r>
      <w:r w:rsidR="00166CCD" w:rsidRPr="00CC00D4">
        <w:t xml:space="preserve"> speciale</w:t>
      </w:r>
      <w:r w:rsidR="00AD0331" w:rsidRPr="00CC00D4">
        <w:t xml:space="preserve"> di cui alla Manovra 2023)</w:t>
      </w:r>
      <w:r w:rsidRPr="00CC00D4">
        <w:t xml:space="preserve"> nei tre anni precedenti l</w:t>
      </w:r>
      <w:r w:rsidR="00AD0331" w:rsidRPr="00CC00D4">
        <w:t>a prestazione occasionale</w:t>
      </w:r>
      <w:r w:rsidRPr="00CC00D4">
        <w:t xml:space="preserve">. </w:t>
      </w:r>
    </w:p>
    <w:p w14:paraId="5623E140" w14:textId="3288D5AB" w:rsidR="008F2868" w:rsidRPr="00CC00D4" w:rsidRDefault="008F2868" w:rsidP="00464A63">
      <w:r w:rsidRPr="00CC00D4">
        <w:t>Sempre rispetto</w:t>
      </w:r>
      <w:r w:rsidR="00464A63" w:rsidRPr="00CC00D4">
        <w:t xml:space="preserve"> ai prestatori, l</w:t>
      </w:r>
      <w:r w:rsidR="003C7D79" w:rsidRPr="00CC00D4">
        <w:t>’</w:t>
      </w:r>
      <w:r w:rsidR="008F2734" w:rsidRPr="00CC00D4">
        <w:t>articolo 1, comma 342, lettera c)</w:t>
      </w:r>
      <w:r w:rsidR="00464A63" w:rsidRPr="00CC00D4">
        <w:t xml:space="preserve"> abroga il comma</w:t>
      </w:r>
      <w:r w:rsidRPr="00CC00D4">
        <w:t xml:space="preserve"> 14-</w:t>
      </w:r>
      <w:r w:rsidRPr="00CC00D4">
        <w:rPr>
          <w:i/>
          <w:iCs/>
        </w:rPr>
        <w:t>bis</w:t>
      </w:r>
      <w:r w:rsidRPr="00CC00D4">
        <w:t xml:space="preserve"> del citato articolo 54-</w:t>
      </w:r>
      <w:r w:rsidRPr="00CC00D4">
        <w:rPr>
          <w:i/>
          <w:iCs/>
        </w:rPr>
        <w:t xml:space="preserve">bis </w:t>
      </w:r>
      <w:r w:rsidRPr="00CC00D4">
        <w:t xml:space="preserve">secondo il quale è vietato il ricorso al contratto di prestazione occasionale, eccezion fatta per i soggetti di seguito indicati, purché non iscritti nell’anno precedente negli elenchi anagrafici dei lavoratori agricoli: </w:t>
      </w:r>
    </w:p>
    <w:p w14:paraId="600EEBFF" w14:textId="610E732C" w:rsidR="008F2868" w:rsidRPr="00CC00D4" w:rsidRDefault="008F2868">
      <w:pPr>
        <w:pStyle w:val="Paragrafoelenco"/>
        <w:numPr>
          <w:ilvl w:val="0"/>
          <w:numId w:val="213"/>
        </w:numPr>
        <w:ind w:left="709" w:hanging="357"/>
        <w:contextualSpacing/>
      </w:pPr>
      <w:r w:rsidRPr="00CC00D4">
        <w:t>Titolari di pensione di vecchiaia o di invalidità;</w:t>
      </w:r>
    </w:p>
    <w:p w14:paraId="02653E86" w14:textId="60A35C3E" w:rsidR="008F2868" w:rsidRPr="00CC00D4" w:rsidRDefault="00047DA7">
      <w:pPr>
        <w:pStyle w:val="Paragrafoelenco"/>
        <w:numPr>
          <w:ilvl w:val="0"/>
          <w:numId w:val="213"/>
        </w:numPr>
        <w:ind w:left="709" w:hanging="357"/>
        <w:contextualSpacing/>
      </w:pPr>
      <w:r w:rsidRPr="00CC00D4">
        <w:t>Giovani con meno di venticinque anni di età, se regolarmente iscritti a un ciclo di studi presso un istituto scolastico di qualsiasi ordine e grado ovvero a un ciclo di studi presso l’università;</w:t>
      </w:r>
    </w:p>
    <w:p w14:paraId="76169DD9" w14:textId="3DAB900C" w:rsidR="00047DA7" w:rsidRPr="00CC00D4" w:rsidRDefault="00047DA7">
      <w:pPr>
        <w:pStyle w:val="Paragrafoelenco"/>
        <w:numPr>
          <w:ilvl w:val="0"/>
          <w:numId w:val="213"/>
        </w:numPr>
        <w:ind w:left="709" w:hanging="357"/>
        <w:contextualSpacing/>
      </w:pPr>
      <w:r w:rsidRPr="00CC00D4">
        <w:t>Persone disoccupate, ai sensi dell’articolo 19 del Decreto legislativo 14 settembre 2015, numero 150;</w:t>
      </w:r>
    </w:p>
    <w:p w14:paraId="79C1FC44" w14:textId="717806C0" w:rsidR="00047DA7" w:rsidRPr="00CC00D4" w:rsidRDefault="00047DA7">
      <w:pPr>
        <w:pStyle w:val="Paragrafoelenco"/>
        <w:numPr>
          <w:ilvl w:val="0"/>
          <w:numId w:val="213"/>
        </w:numPr>
        <w:ind w:left="709"/>
      </w:pPr>
      <w:r w:rsidRPr="00CC00D4">
        <w:t>Percettori di prestazioni integrative del salario, di reddito di inclusione (REI) ovvero di altre prestazioni di sostegno del reddito.</w:t>
      </w:r>
    </w:p>
    <w:p w14:paraId="24A7EBF0" w14:textId="5F905810" w:rsidR="00047DA7" w:rsidRPr="00CC00D4" w:rsidRDefault="00047DA7" w:rsidP="00047DA7">
      <w:r w:rsidRPr="00CC00D4">
        <w:t>Vengono inoltre abrogate altre disposizioni dell’articolo 54-</w:t>
      </w:r>
      <w:r w:rsidRPr="00CC00D4">
        <w:rPr>
          <w:i/>
          <w:iCs/>
        </w:rPr>
        <w:t>bis</w:t>
      </w:r>
      <w:r w:rsidRPr="00CC00D4">
        <w:t>, nello specifico:</w:t>
      </w:r>
    </w:p>
    <w:p w14:paraId="3F8F56E6" w14:textId="1A00AD4C" w:rsidR="00047DA7" w:rsidRPr="00CC00D4" w:rsidRDefault="00047DA7">
      <w:pPr>
        <w:pStyle w:val="Paragrafoelenco"/>
        <w:numPr>
          <w:ilvl w:val="0"/>
          <w:numId w:val="214"/>
        </w:numPr>
        <w:ind w:left="709" w:hanging="357"/>
        <w:contextualSpacing/>
      </w:pPr>
      <w:r w:rsidRPr="00CC00D4">
        <w:t>Il comma 16, comportando, di conseguenza, che anche nel settore agricolo la misura minima oraria del compenso è pari a 9 euro;</w:t>
      </w:r>
    </w:p>
    <w:p w14:paraId="15BA0826" w14:textId="1B74BE5F" w:rsidR="000A4C54" w:rsidRPr="00CC00D4" w:rsidRDefault="000A4C54">
      <w:pPr>
        <w:pStyle w:val="Paragrafoelenco"/>
        <w:numPr>
          <w:ilvl w:val="0"/>
          <w:numId w:val="214"/>
        </w:numPr>
        <w:ind w:left="709"/>
      </w:pPr>
      <w:r w:rsidRPr="00CC00D4">
        <w:t>Il riferimento all’imprenditore agricol</w:t>
      </w:r>
      <w:r w:rsidR="00AD0331" w:rsidRPr="00CC00D4">
        <w:t>o</w:t>
      </w:r>
      <w:r w:rsidRPr="00CC00D4">
        <w:t xml:space="preserve"> presente nel comma 17, lettera d), pertanto: </w:t>
      </w:r>
    </w:p>
    <w:p w14:paraId="2704F3B0" w14:textId="35990525" w:rsidR="00047DA7" w:rsidRPr="00CC00D4" w:rsidRDefault="000A4C54">
      <w:pPr>
        <w:pStyle w:val="Paragrafoelenco"/>
        <w:numPr>
          <w:ilvl w:val="0"/>
          <w:numId w:val="209"/>
        </w:numPr>
        <w:ind w:left="1775" w:hanging="357"/>
        <w:contextualSpacing/>
      </w:pPr>
      <w:r w:rsidRPr="00CC00D4">
        <w:t>L’utilizzatore non è più tenuto a comunicare sulla piattaforma telematica Inps che trattasi di imprenditore agricolo (resta comunque fermo l’obbligo di comunicazione preventiva);</w:t>
      </w:r>
    </w:p>
    <w:p w14:paraId="6DE9E381" w14:textId="77777777" w:rsidR="00403D94" w:rsidRPr="00CC00D4" w:rsidRDefault="000A4C54">
      <w:pPr>
        <w:pStyle w:val="Paragrafoelenco"/>
        <w:numPr>
          <w:ilvl w:val="0"/>
          <w:numId w:val="209"/>
        </w:numPr>
      </w:pPr>
      <w:r w:rsidRPr="00CC00D4">
        <w:t>L’imprenditore agricolo non deve più precisare nella comunicazione obbligatoria di rispettare il particolare regime dei compensi riservato al settore agricolo</w:t>
      </w:r>
      <w:r w:rsidR="00403D94" w:rsidRPr="00CC00D4">
        <w:t>;</w:t>
      </w:r>
    </w:p>
    <w:p w14:paraId="4C8F9881" w14:textId="0D93A88B" w:rsidR="003C7D79" w:rsidRPr="00CC00D4" w:rsidRDefault="00403D94">
      <w:pPr>
        <w:pStyle w:val="Paragrafoelenco"/>
        <w:numPr>
          <w:ilvl w:val="0"/>
          <w:numId w:val="210"/>
        </w:numPr>
      </w:pPr>
      <w:r w:rsidRPr="00CC00D4">
        <w:lastRenderedPageBreak/>
        <w:t xml:space="preserve">Il </w:t>
      </w:r>
      <w:r w:rsidR="000A4C54" w:rsidRPr="00CC00D4">
        <w:t>comma</w:t>
      </w:r>
      <w:r w:rsidR="00464A63" w:rsidRPr="00CC00D4">
        <w:t xml:space="preserve"> 8-</w:t>
      </w:r>
      <w:r w:rsidR="00464A63" w:rsidRPr="00CC00D4">
        <w:rPr>
          <w:i/>
          <w:iCs/>
        </w:rPr>
        <w:t>bi</w:t>
      </w:r>
      <w:r w:rsidRPr="00CC00D4">
        <w:rPr>
          <w:i/>
          <w:iCs/>
        </w:rPr>
        <w:t>s</w:t>
      </w:r>
      <w:r w:rsidRPr="00CC00D4">
        <w:t>,</w:t>
      </w:r>
      <w:r w:rsidRPr="00CC00D4">
        <w:rPr>
          <w:i/>
          <w:iCs/>
        </w:rPr>
        <w:t xml:space="preserve"> </w:t>
      </w:r>
      <w:r w:rsidRPr="00CC00D4">
        <w:t>riguardante</w:t>
      </w:r>
      <w:r w:rsidR="00464A63" w:rsidRPr="00CC00D4">
        <w:rPr>
          <w:i/>
          <w:iCs/>
        </w:rPr>
        <w:t xml:space="preserve"> </w:t>
      </w:r>
      <w:r w:rsidR="000A4C54" w:rsidRPr="00CC00D4">
        <w:t xml:space="preserve">l’obbligo per il prestatore di </w:t>
      </w:r>
      <w:r w:rsidR="00464A63" w:rsidRPr="00CC00D4">
        <w:t xml:space="preserve">autocertificare, nella piattaforma telematica Inps, di non essere stato iscritto nell’anno precedente negli elenchi anagrafici dei lavoratori agricoli. </w:t>
      </w:r>
    </w:p>
    <w:p w14:paraId="74B58D32" w14:textId="3B34BF96" w:rsidR="003C7D79" w:rsidRPr="00CC00D4" w:rsidRDefault="003C7D79" w:rsidP="003C7D79">
      <w:r w:rsidRPr="00CC00D4">
        <w:t xml:space="preserve">Con riguardo alle modalità di svolgimento del nuovo contratto di prestazione occasionale, la Legge numero 197/2022 (articolo 1, comma 345) impone al datore di lavoro di acquisire, prima dell’inizio del rapporto, un’autocertificazione resa dal lavoratore in ordine alla propria condizione soggettiva. </w:t>
      </w:r>
    </w:p>
    <w:p w14:paraId="656F9909" w14:textId="6BA1A69C" w:rsidR="003C7D79" w:rsidRPr="00CC00D4" w:rsidRDefault="003C7D79" w:rsidP="003C7D79">
      <w:r w:rsidRPr="00CC00D4">
        <w:t>L’Inps, dal canto suo, provvede a “</w:t>
      </w:r>
      <w:r w:rsidRPr="00CC00D4">
        <w:rPr>
          <w:i/>
          <w:iCs/>
        </w:rPr>
        <w:t xml:space="preserve">sottrarre dalla contribuzione figurativa relativa </w:t>
      </w:r>
      <w:r w:rsidR="00C051EC" w:rsidRPr="00CC00D4">
        <w:rPr>
          <w:i/>
          <w:iCs/>
        </w:rPr>
        <w:t>alle eventuali prestazioni integrative del salario o di sostegno al reddito gli accrediti contributivi derivanti dalle prestazioni di lavoro occasionale agricolo</w:t>
      </w:r>
      <w:r w:rsidR="00C051EC" w:rsidRPr="00CC00D4">
        <w:t xml:space="preserve">” (articolo 1, comma 345). </w:t>
      </w:r>
    </w:p>
    <w:p w14:paraId="33819300" w14:textId="10D6F23A" w:rsidR="00C051EC" w:rsidRPr="00CC00D4" w:rsidRDefault="00C051EC" w:rsidP="003C7D79">
      <w:r w:rsidRPr="00CC00D4">
        <w:t>Sempre al datore di lavoro che ricorre a prestazioni di lavoro occasionale agricolo a tempo determinato (articolo 1, comma 346) si impone di trasmettere al Centro per l’impiego, prima dell’inizio della prestazione stessa, la comunicazione obbligatoria di cui all’articolo 9-</w:t>
      </w:r>
      <w:r w:rsidRPr="00CC00D4">
        <w:rPr>
          <w:i/>
          <w:iCs/>
        </w:rPr>
        <w:t>bis</w:t>
      </w:r>
      <w:r w:rsidRPr="00CC00D4">
        <w:t xml:space="preserve"> del Decreto – legge 1° ottobre 1996, convertito, con modificazioni, dalla Legge 28 novembre 1996 numero 608. </w:t>
      </w:r>
    </w:p>
    <w:p w14:paraId="2117464E" w14:textId="2A101164" w:rsidR="00C051EC" w:rsidRPr="00CC00D4" w:rsidRDefault="00C051EC" w:rsidP="003C7D79">
      <w:r w:rsidRPr="00CC00D4">
        <w:t xml:space="preserve">Nella comunicazione, i quarantacinque giorni di prestazione massima consentiti si computano prendendo in considerazione esclusivamente le giornate di effettivo lavoro </w:t>
      </w:r>
      <w:r w:rsidR="00591A2A" w:rsidRPr="00CC00D4">
        <w:t>“</w:t>
      </w:r>
      <w:r w:rsidR="00591A2A" w:rsidRPr="00CC00D4">
        <w:rPr>
          <w:i/>
          <w:iCs/>
        </w:rPr>
        <w:t>e non la durata in sé del contratto di lavoro, che può avere una durata massima di dodici mesi</w:t>
      </w:r>
      <w:r w:rsidR="00591A2A" w:rsidRPr="00CC00D4">
        <w:t xml:space="preserve">” (articolo 1, comma 346, secondo periodo). </w:t>
      </w:r>
    </w:p>
    <w:p w14:paraId="4577F05C" w14:textId="42009611" w:rsidR="005E2DB1" w:rsidRPr="00CC00D4" w:rsidRDefault="005E2DB1" w:rsidP="003C7D79">
      <w:r w:rsidRPr="00CC00D4">
        <w:t>Non possono comunque instaurare un rapporto di lavoro agricolo occasionale a termine</w:t>
      </w:r>
      <w:r w:rsidR="00281585" w:rsidRPr="00CC00D4">
        <w:t xml:space="preserve"> (articolo 1, comma 347) </w:t>
      </w:r>
      <w:r w:rsidRPr="00CC00D4">
        <w:t xml:space="preserve">i datori di lavoro che non rispettano i contratti collettivi nazionali e provinciali di lavoro, stipulati dalle organizzazioni sindacali comparativamente più rappresentative sul piano nazionale. </w:t>
      </w:r>
    </w:p>
    <w:p w14:paraId="2B89EB49" w14:textId="0439612E" w:rsidR="00281585" w:rsidRPr="00CC00D4" w:rsidRDefault="00281585" w:rsidP="003C7D79">
      <w:r w:rsidRPr="00CC00D4">
        <w:t>A fronte della prestazione occasionale resa in ambito agricolo, il lavoratore ha diritto ad un compenso calcolato in base alla retribuzione stabilita dai “</w:t>
      </w:r>
      <w:r w:rsidRPr="00CC00D4">
        <w:rPr>
          <w:i/>
          <w:iCs/>
        </w:rPr>
        <w:t>contratti collettivi nazionali e provinciali di lavoro, stipulati dalle organizzazioni sindacali comparativamente più rappresentative sul piano nazionale</w:t>
      </w:r>
      <w:r w:rsidRPr="00CC00D4">
        <w:t xml:space="preserve">” (articolo 1, comma 348). </w:t>
      </w:r>
    </w:p>
    <w:p w14:paraId="6CB533D1" w14:textId="77777777" w:rsidR="000F13BA" w:rsidRPr="00CC00D4" w:rsidRDefault="00281585" w:rsidP="003C7D79">
      <w:r w:rsidRPr="00CC00D4">
        <w:t>Il compenso dev’essere liquidato direttamente dal datore di lavoro, a mezzo strumenti di pagamento tracciabili (ai sensi dell’articolo 1, commi da 910 a 913, della Legge 27 dicembre 2017 numero 205)</w:t>
      </w:r>
      <w:r w:rsidR="000F13BA" w:rsidRPr="00CC00D4">
        <w:t>, quali:</w:t>
      </w:r>
    </w:p>
    <w:p w14:paraId="2851CD65" w14:textId="70F65B3F" w:rsidR="00281585" w:rsidRPr="00CC00D4" w:rsidRDefault="000F13BA">
      <w:pPr>
        <w:pStyle w:val="Paragrafoelenco"/>
        <w:numPr>
          <w:ilvl w:val="0"/>
          <w:numId w:val="210"/>
        </w:numPr>
        <w:ind w:left="714" w:hanging="357"/>
        <w:contextualSpacing/>
      </w:pPr>
      <w:r w:rsidRPr="00CC00D4">
        <w:t>Bonifico sul conto identificato dal codice Iban indicato dal lavoratore;</w:t>
      </w:r>
    </w:p>
    <w:p w14:paraId="36176BA2" w14:textId="74266F1A" w:rsidR="000F13BA" w:rsidRPr="00CC00D4" w:rsidRDefault="000F13BA">
      <w:pPr>
        <w:pStyle w:val="Paragrafoelenco"/>
        <w:numPr>
          <w:ilvl w:val="0"/>
          <w:numId w:val="210"/>
        </w:numPr>
        <w:ind w:left="714" w:hanging="357"/>
        <w:contextualSpacing/>
      </w:pPr>
      <w:r w:rsidRPr="00CC00D4">
        <w:t>Strumenti di pagamento elettronico (inclusa la carta di credito prepagata intestata al lavoratore, anche se non collegata ad un Iban);</w:t>
      </w:r>
    </w:p>
    <w:p w14:paraId="2FB5FD07" w14:textId="24FC25C2" w:rsidR="000F13BA" w:rsidRPr="00CC00D4" w:rsidRDefault="000F13BA">
      <w:pPr>
        <w:pStyle w:val="Paragrafoelenco"/>
        <w:numPr>
          <w:ilvl w:val="0"/>
          <w:numId w:val="210"/>
        </w:numPr>
        <w:ind w:left="714" w:hanging="357"/>
        <w:contextualSpacing/>
      </w:pPr>
      <w:r w:rsidRPr="00CC00D4">
        <w:t>Contanti presso lo sportello bancario o postale dove il datore di lavoro ha aperto un conto corrente di tesoreria con mandato di pagamento;</w:t>
      </w:r>
    </w:p>
    <w:p w14:paraId="784145EF" w14:textId="69CD91D0" w:rsidR="000F13BA" w:rsidRPr="00CC00D4" w:rsidRDefault="000F13BA">
      <w:pPr>
        <w:pStyle w:val="Paragrafoelenco"/>
        <w:numPr>
          <w:ilvl w:val="0"/>
          <w:numId w:val="210"/>
        </w:numPr>
      </w:pPr>
      <w:r w:rsidRPr="00CC00D4">
        <w:t xml:space="preserve">Assegno o vaglia postale, consegnato direttamente al lavoratore o, in caso di suo comprovato impedimento, ad un suo delegato (coniuge, convivente o familiare, in linea retta o collaterale, purché di età non inferiore a sedici anni). </w:t>
      </w:r>
    </w:p>
    <w:p w14:paraId="0E5FB879" w14:textId="11DCE336" w:rsidR="000F13BA" w:rsidRPr="00CC00D4" w:rsidRDefault="000F13BA" w:rsidP="000F13BA">
      <w:r w:rsidRPr="00CC00D4">
        <w:lastRenderedPageBreak/>
        <w:t xml:space="preserve">La retribuzione, pertanto, non può essere corrisposta in contanti direttamente al lavoratore. In caso di violazione degli obblighi citati, è prevista una sanzione amministrativa pecuniaria da 1.000 a 5.000 euro. </w:t>
      </w:r>
    </w:p>
    <w:p w14:paraId="62054F21" w14:textId="5AD84539" w:rsidR="00196229" w:rsidRPr="00CC00D4" w:rsidRDefault="00196229" w:rsidP="000F13BA">
      <w:r w:rsidRPr="00CC00D4">
        <w:t>Per il lavoratore, il compenso percepito per le prestazioni occasionali</w:t>
      </w:r>
      <w:r w:rsidR="00B44E05" w:rsidRPr="00CC00D4">
        <w:t xml:space="preserve"> è esente da qualsiasi imposizione fiscale, non incide sullo stato di disoccupato o inoccupato entro il limite di quarantacinque giornate di prestazione per anno civile, oltre ad essere cumulabile con qualsiasi tipologia di trattamento pensionistico. </w:t>
      </w:r>
    </w:p>
    <w:p w14:paraId="35E47FF6" w14:textId="27CDED4F" w:rsidR="00B44E05" w:rsidRPr="00CC00D4" w:rsidRDefault="00B44E05" w:rsidP="000F13BA">
      <w:r w:rsidRPr="00CC00D4">
        <w:t>Inoltre, la contribuzione versata dal datore di lavoro e dal lavoratore “</w:t>
      </w:r>
      <w:r w:rsidRPr="00CC00D4">
        <w:rPr>
          <w:i/>
          <w:iCs/>
        </w:rPr>
        <w:t>è considerata utile ai fini di eventuali successive prestazioni previdenziali, assistenziali e di disoccupazione, anche agricole</w:t>
      </w:r>
      <w:r w:rsidRPr="00CC00D4">
        <w:t>” oltre ad essere “</w:t>
      </w:r>
      <w:r w:rsidRPr="00CC00D4">
        <w:rPr>
          <w:i/>
          <w:iCs/>
        </w:rPr>
        <w:t xml:space="preserve">computabile ai fini della determinazione del reddito necessario </w:t>
      </w:r>
      <w:r w:rsidR="007F40D8" w:rsidRPr="00CC00D4">
        <w:rPr>
          <w:i/>
          <w:iCs/>
        </w:rPr>
        <w:t>per il rilascio o il rinnovo del permesso di soggiorno</w:t>
      </w:r>
      <w:r w:rsidR="007F40D8" w:rsidRPr="00CC00D4">
        <w:t xml:space="preserve">” (articolo 1, comma 349). </w:t>
      </w:r>
    </w:p>
    <w:p w14:paraId="2215AB7F" w14:textId="4B991F2C" w:rsidR="007F40D8" w:rsidRPr="00CC00D4" w:rsidRDefault="007F40D8" w:rsidP="000F13BA">
      <w:r w:rsidRPr="00CC00D4">
        <w:t xml:space="preserve">I lavoratori occasionali possono essere iscritti nel Libro unico del lavoro (LUL) in un’unica soluzione, anche in relazione alla scadenza del rapporto di lavoro, fermo restando che i compensi spettanti possono essere erogati anche anticipatamente, su base settimanale, quindicinale o mensile, con le modalità descritte all’articolo 1, comma 348 citato. </w:t>
      </w:r>
    </w:p>
    <w:p w14:paraId="2AD08992" w14:textId="77777777" w:rsidR="007E25CC" w:rsidRPr="00CC00D4" w:rsidRDefault="007F40D8" w:rsidP="000F13BA">
      <w:r w:rsidRPr="00CC00D4">
        <w:t xml:space="preserve">Il datore di lavoro, grazie alla consegna di copia della comunicazione telematica di assunzione trasmessa al Centro per l’impiego (di cui all’articolo 1, comma 346), assolve gli obblighi di informativa in favore del lavoratore prescritti dall’articolo 1 del Decreto legislativo 26 maggio 1997 numero 152. </w:t>
      </w:r>
    </w:p>
    <w:p w14:paraId="4C4DABC2" w14:textId="14FC370E" w:rsidR="007F40D8" w:rsidRPr="00CC00D4" w:rsidRDefault="007E25CC" w:rsidP="000F13BA">
      <w:r w:rsidRPr="00CC00D4">
        <w:t xml:space="preserve">Sempre al datore è fatto obbligo di versare all’Inps la contribuzione unificata previdenziale e assistenziale agricola, comprensiva anche di quella contrattuale, dovuta sui compensi erogati, con </w:t>
      </w:r>
      <w:r w:rsidR="00AD2C2F" w:rsidRPr="00CC00D4">
        <w:t>“</w:t>
      </w:r>
      <w:r w:rsidRPr="00CC00D4">
        <w:rPr>
          <w:i/>
          <w:iCs/>
        </w:rPr>
        <w:t>l’aliquota determinata</w:t>
      </w:r>
      <w:r w:rsidR="00AD2C2F" w:rsidRPr="00CC00D4">
        <w:rPr>
          <w:i/>
          <w:iCs/>
        </w:rPr>
        <w:t xml:space="preserve"> ai sensi dell’articolo 1, comma 45, della Legge 13 dicembre 2010, n. 220, per i territori svantaggiati, entro il giorno 16 del mese successivo al termine della prestazione, secondo modalità stabilite dall’Istituto nazionale della previdenziale sociale e dall’Istituto nazionale per l’assicurazione contro gli infortuni sul lavoro, d’intesa tra loro</w:t>
      </w:r>
      <w:r w:rsidR="00AD2C2F" w:rsidRPr="00CC00D4">
        <w:t xml:space="preserve">” (articolo 1, comma 352). </w:t>
      </w:r>
    </w:p>
    <w:p w14:paraId="7B3D157D" w14:textId="77777777" w:rsidR="00EA05E7" w:rsidRPr="00CC00D4" w:rsidRDefault="00EA05E7" w:rsidP="000F13BA">
      <w:r w:rsidRPr="00CC00D4">
        <w:t xml:space="preserve">Da ultimo, la Manovra 2023 prevede, in caso di: </w:t>
      </w:r>
    </w:p>
    <w:p w14:paraId="2AD8CF5B" w14:textId="099B85BF" w:rsidR="00EA05E7" w:rsidRPr="00CC00D4" w:rsidRDefault="00EA05E7">
      <w:pPr>
        <w:pStyle w:val="Paragrafoelenco"/>
        <w:numPr>
          <w:ilvl w:val="0"/>
          <w:numId w:val="211"/>
        </w:numPr>
        <w:ind w:left="714" w:hanging="357"/>
        <w:contextualSpacing/>
      </w:pPr>
      <w:r w:rsidRPr="00CC00D4">
        <w:t>Superamento del limite di durata (quarantacinque giornate annue per singolo lavoratore), la trasformazione del rapporto in contratto a tempo indeterminato;</w:t>
      </w:r>
    </w:p>
    <w:p w14:paraId="2E66987A" w14:textId="0B1BE520" w:rsidR="00EA05E7" w:rsidRPr="00CC00D4" w:rsidRDefault="00EA05E7">
      <w:pPr>
        <w:pStyle w:val="Paragrafoelenco"/>
        <w:numPr>
          <w:ilvl w:val="0"/>
          <w:numId w:val="211"/>
        </w:numPr>
      </w:pPr>
      <w:r w:rsidRPr="00CC00D4">
        <w:t>Violazione dell’obbligo di comunicazione preventiva ovvero a fronte dell’utilizzo di soggetti diversi da quelli di cui al comma 344, la sanzione amministrativa pecuniaria da 500 a 2.500 euro per ogni giornata cui risulta accertata la violazione, a meno che la “</w:t>
      </w:r>
      <w:r w:rsidRPr="00CC00D4">
        <w:rPr>
          <w:i/>
          <w:iCs/>
        </w:rPr>
        <w:t>violazione del comma 344 da parte dell’impresa agricola non derivi dalle informazioni incomplete o non veritiere contenute nell’autocertificazione resa dal lavoratore ai sensi del comma 345</w:t>
      </w:r>
      <w:r w:rsidRPr="00CC00D4">
        <w:t>” (articolo 1, comma 354).</w:t>
      </w:r>
      <w:commentRangeEnd w:id="36"/>
      <w:r w:rsidR="002E1595" w:rsidRPr="00CC00D4">
        <w:rPr>
          <w:rStyle w:val="Rimandocommento"/>
          <w:rFonts w:ascii="Calibri" w:eastAsia="SimSun" w:hAnsi="Calibri" w:cs="F"/>
          <w:kern w:val="3"/>
          <w:lang w:eastAsia="it-IT"/>
        </w:rPr>
        <w:commentReference w:id="36"/>
      </w:r>
    </w:p>
    <w:p w14:paraId="261D3028" w14:textId="77777777" w:rsidR="00634069" w:rsidRPr="00CC00D4" w:rsidRDefault="00634069">
      <w:pPr>
        <w:suppressAutoHyphens w:val="0"/>
        <w:spacing w:after="0" w:line="240" w:lineRule="auto"/>
        <w:jc w:val="left"/>
        <w:rPr>
          <w:rFonts w:cs="Tahoma"/>
          <w:b/>
          <w:bCs/>
          <w:color w:val="000000"/>
          <w:sz w:val="22"/>
          <w:u w:val="single"/>
        </w:rPr>
      </w:pPr>
      <w:bookmarkStart w:id="40" w:name="__RefHeading__4368_1479815270"/>
      <w:bookmarkStart w:id="41" w:name="_Toc92386450"/>
      <w:r w:rsidRPr="00CC00D4">
        <w:br w:type="page"/>
      </w:r>
    </w:p>
    <w:p w14:paraId="0B50A183" w14:textId="17DA207E" w:rsidR="002558B3" w:rsidRPr="00CC00D4" w:rsidRDefault="002558B3" w:rsidP="00AB649D">
      <w:pPr>
        <w:pStyle w:val="Titolo2"/>
      </w:pPr>
      <w:bookmarkStart w:id="42" w:name="_Toc124266216"/>
      <w:r w:rsidRPr="00CC00D4">
        <w:lastRenderedPageBreak/>
        <w:t>1.</w:t>
      </w:r>
      <w:r w:rsidR="00D96F46" w:rsidRPr="00CC00D4">
        <w:t>6</w:t>
      </w:r>
      <w:r w:rsidRPr="00CC00D4">
        <w:t xml:space="preserve"> Lettera di incarico per lavoro autonomo occasionale</w:t>
      </w:r>
      <w:bookmarkEnd w:id="40"/>
      <w:bookmarkEnd w:id="41"/>
      <w:bookmarkEnd w:id="42"/>
    </w:p>
    <w:p w14:paraId="2F50E52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Sebbene la legge non imponga alcun documento o contratto scritto, è consigliabile predisporre una lettera di incarico contenente le caratteristiche della prestazione ed il compenso pattuito tra le parti.</w:t>
      </w:r>
    </w:p>
    <w:p w14:paraId="4D74A6D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documento dovrà innanzitutto riportare:</w:t>
      </w:r>
    </w:p>
    <w:p w14:paraId="0F328358" w14:textId="77777777" w:rsidR="002558B3" w:rsidRPr="00CC00D4" w:rsidRDefault="002558B3">
      <w:pPr>
        <w:pStyle w:val="Paragrafoelenco"/>
        <w:numPr>
          <w:ilvl w:val="0"/>
          <w:numId w:val="60"/>
        </w:numPr>
        <w:autoSpaceDN w:val="0"/>
        <w:ind w:left="709" w:hanging="357"/>
        <w:contextualSpacing/>
        <w:textAlignment w:val="baseline"/>
        <w:rPr>
          <w:rFonts w:cs="Tahoma"/>
          <w:szCs w:val="20"/>
        </w:rPr>
      </w:pPr>
      <w:r w:rsidRPr="00CC00D4">
        <w:rPr>
          <w:rFonts w:cs="Tahoma"/>
          <w:bCs/>
          <w:szCs w:val="20"/>
        </w:rPr>
        <w:t>Luogo e data;</w:t>
      </w:r>
    </w:p>
    <w:p w14:paraId="1FE581A4" w14:textId="77777777" w:rsidR="002558B3" w:rsidRPr="00CC00D4" w:rsidRDefault="002558B3">
      <w:pPr>
        <w:pStyle w:val="Paragrafoelenco"/>
        <w:numPr>
          <w:ilvl w:val="0"/>
          <w:numId w:val="60"/>
        </w:numPr>
        <w:autoSpaceDN w:val="0"/>
        <w:ind w:left="709" w:hanging="357"/>
        <w:contextualSpacing/>
        <w:textAlignment w:val="baseline"/>
        <w:rPr>
          <w:rFonts w:cs="Tahoma"/>
          <w:szCs w:val="20"/>
        </w:rPr>
      </w:pPr>
      <w:r w:rsidRPr="00CC00D4">
        <w:rPr>
          <w:rFonts w:cs="Tahoma"/>
          <w:bCs/>
          <w:szCs w:val="20"/>
        </w:rPr>
        <w:t>Dati identificativi del committente, quali nome e cognome / ragione sociale, sede legale, codice fiscale ed eventuale partita IVA;</w:t>
      </w:r>
    </w:p>
    <w:p w14:paraId="42AB2CAC" w14:textId="77777777" w:rsidR="002558B3" w:rsidRPr="00CC00D4" w:rsidRDefault="002558B3">
      <w:pPr>
        <w:pStyle w:val="Paragrafoelenco"/>
        <w:numPr>
          <w:ilvl w:val="0"/>
          <w:numId w:val="60"/>
        </w:numPr>
        <w:autoSpaceDN w:val="0"/>
        <w:ind w:left="709"/>
        <w:textAlignment w:val="baseline"/>
        <w:rPr>
          <w:rFonts w:cs="Tahoma"/>
          <w:szCs w:val="20"/>
        </w:rPr>
      </w:pPr>
      <w:r w:rsidRPr="00CC00D4">
        <w:rPr>
          <w:rFonts w:cs="Tahoma"/>
          <w:bCs/>
          <w:szCs w:val="20"/>
        </w:rPr>
        <w:t>Dati identificativi del lavoratore come nome e cognome, codice fiscale, residenza.</w:t>
      </w:r>
    </w:p>
    <w:p w14:paraId="3BDD8FE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Successivamente, l’oggetto avrà come dicitura: “</w:t>
      </w:r>
      <w:r w:rsidRPr="00CC00D4">
        <w:rPr>
          <w:rFonts w:ascii="Tahoma" w:hAnsi="Tahoma" w:cs="Tahoma"/>
          <w:bCs/>
          <w:i/>
          <w:kern w:val="0"/>
          <w:sz w:val="20"/>
          <w:szCs w:val="20"/>
        </w:rPr>
        <w:t>Lettera di incarico per lavoro autonomo occasionale ai sensi dell’articolo 2222 Codice Civile</w:t>
      </w:r>
      <w:r w:rsidRPr="00CC00D4">
        <w:rPr>
          <w:rFonts w:ascii="Tahoma" w:hAnsi="Tahoma" w:cs="Tahoma"/>
          <w:bCs/>
          <w:kern w:val="0"/>
          <w:sz w:val="20"/>
          <w:szCs w:val="20"/>
        </w:rPr>
        <w:t>”.</w:t>
      </w:r>
    </w:p>
    <w:p w14:paraId="3DE5C34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corpo del documento conterrà:</w:t>
      </w:r>
    </w:p>
    <w:p w14:paraId="3281E731" w14:textId="77777777" w:rsidR="002558B3" w:rsidRPr="00CC00D4" w:rsidRDefault="002558B3">
      <w:pPr>
        <w:pStyle w:val="Paragrafoelenco"/>
        <w:numPr>
          <w:ilvl w:val="0"/>
          <w:numId w:val="99"/>
        </w:numPr>
        <w:autoSpaceDN w:val="0"/>
        <w:ind w:left="709" w:hanging="357"/>
        <w:contextualSpacing/>
        <w:textAlignment w:val="baseline"/>
        <w:rPr>
          <w:rFonts w:cs="Tahoma"/>
          <w:szCs w:val="20"/>
        </w:rPr>
      </w:pPr>
      <w:r w:rsidRPr="00CC00D4">
        <w:rPr>
          <w:rFonts w:cs="Tahoma"/>
          <w:bCs/>
          <w:szCs w:val="20"/>
        </w:rPr>
        <w:t>Dettaglio dell’attività da svolgere e richiamo alle caratteristiche del rapporto (autonomia ed occasionalità) oltre alla riserva del committente di fornire indicazioni di massima “</w:t>
      </w:r>
      <w:r w:rsidRPr="00CC00D4">
        <w:rPr>
          <w:rFonts w:cs="Tahoma"/>
          <w:bCs/>
          <w:i/>
          <w:szCs w:val="20"/>
        </w:rPr>
        <w:t>Ai sensi dell’articolo 2222 Codice Civile Lei si impegna a svolgere la seguente attività _______________ in modo occasionale ed autonomo, senza alcun assoggettamento al potere gerarchico, direttivo e disciplinare esercitato dallo / dalla Scrivente _______________ eccezion fatta per indicazioni di massima sui contenuti della prestazione, nel rispetto della natura autonoma dell’incarico</w:t>
      </w:r>
      <w:r w:rsidRPr="00CC00D4">
        <w:rPr>
          <w:rFonts w:cs="Tahoma"/>
          <w:bCs/>
          <w:szCs w:val="20"/>
        </w:rPr>
        <w:t>”;</w:t>
      </w:r>
    </w:p>
    <w:p w14:paraId="3C8F1F90" w14:textId="77777777" w:rsidR="002558B3" w:rsidRPr="00CC00D4" w:rsidRDefault="002558B3">
      <w:pPr>
        <w:pStyle w:val="Paragrafoelenco"/>
        <w:numPr>
          <w:ilvl w:val="0"/>
          <w:numId w:val="99"/>
        </w:numPr>
        <w:autoSpaceDN w:val="0"/>
        <w:ind w:left="709" w:hanging="357"/>
        <w:contextualSpacing/>
        <w:textAlignment w:val="baseline"/>
        <w:rPr>
          <w:rFonts w:cs="Tahoma"/>
          <w:szCs w:val="20"/>
        </w:rPr>
      </w:pPr>
      <w:r w:rsidRPr="00CC00D4">
        <w:rPr>
          <w:rFonts w:cs="Tahoma"/>
          <w:bCs/>
          <w:szCs w:val="20"/>
        </w:rPr>
        <w:t>La possibilità di avvalersi della struttura del committente “</w:t>
      </w:r>
      <w:r w:rsidRPr="00CC00D4">
        <w:rPr>
          <w:rFonts w:cs="Tahoma"/>
          <w:bCs/>
          <w:i/>
          <w:szCs w:val="20"/>
        </w:rPr>
        <w:t xml:space="preserve">Nel rendere l’attività di _______________ Lei potrà avvalersi della nostra struttura, concordando la presenza nei locali aziendali con il / la Sig. / Sig.ra _______________ il / la quale riveste la qualifica di _______________ </w:t>
      </w:r>
      <w:r w:rsidRPr="00CC00D4">
        <w:rPr>
          <w:rFonts w:cs="Tahoma"/>
          <w:bCs/>
          <w:szCs w:val="20"/>
        </w:rPr>
        <w:t>”;</w:t>
      </w:r>
    </w:p>
    <w:p w14:paraId="59BAAC34" w14:textId="77777777" w:rsidR="002558B3" w:rsidRPr="00CC00D4" w:rsidRDefault="002558B3">
      <w:pPr>
        <w:pStyle w:val="Paragrafoelenco"/>
        <w:numPr>
          <w:ilvl w:val="0"/>
          <w:numId w:val="99"/>
        </w:numPr>
        <w:autoSpaceDN w:val="0"/>
        <w:ind w:left="709" w:hanging="357"/>
        <w:contextualSpacing/>
        <w:textAlignment w:val="baseline"/>
        <w:rPr>
          <w:rFonts w:cs="Tahoma"/>
          <w:szCs w:val="20"/>
        </w:rPr>
      </w:pPr>
      <w:r w:rsidRPr="00CC00D4">
        <w:rPr>
          <w:rFonts w:cs="Tahoma"/>
          <w:bCs/>
          <w:szCs w:val="20"/>
        </w:rPr>
        <w:t>L’obbligo di informare il lavoratore circa i rischi per la salute e la sicurezza “</w:t>
      </w:r>
      <w:r w:rsidRPr="00CC00D4">
        <w:rPr>
          <w:rFonts w:cs="Tahoma"/>
          <w:bCs/>
          <w:i/>
          <w:szCs w:val="20"/>
        </w:rPr>
        <w:t>Lo / La Scrivente _______________ si impegna ad informarla preventivamente circa i rischi presenti nei locali aziendali, nonché di quelli attinenti l’attività di _______________ oggetto della presente lettera di incarico</w:t>
      </w:r>
      <w:r w:rsidRPr="00CC00D4">
        <w:rPr>
          <w:rFonts w:cs="Tahoma"/>
          <w:bCs/>
          <w:szCs w:val="20"/>
        </w:rPr>
        <w:t>”;</w:t>
      </w:r>
    </w:p>
    <w:p w14:paraId="696D3F60" w14:textId="77777777" w:rsidR="002558B3" w:rsidRPr="00CC00D4" w:rsidRDefault="002558B3">
      <w:pPr>
        <w:pStyle w:val="Paragrafoelenco"/>
        <w:numPr>
          <w:ilvl w:val="0"/>
          <w:numId w:val="99"/>
        </w:numPr>
        <w:autoSpaceDN w:val="0"/>
        <w:ind w:left="709" w:hanging="357"/>
        <w:contextualSpacing/>
        <w:textAlignment w:val="baseline"/>
        <w:rPr>
          <w:rFonts w:cs="Tahoma"/>
          <w:szCs w:val="20"/>
        </w:rPr>
      </w:pPr>
      <w:r w:rsidRPr="00CC00D4">
        <w:rPr>
          <w:rFonts w:cs="Tahoma"/>
          <w:bCs/>
          <w:szCs w:val="20"/>
        </w:rPr>
        <w:t>Il compenso pattuito e le modalità di pagamento (ad esempio bonifico bancario) “</w:t>
      </w:r>
      <w:r w:rsidRPr="00CC00D4">
        <w:rPr>
          <w:rFonts w:cs="Tahoma"/>
          <w:bCs/>
          <w:i/>
          <w:szCs w:val="20"/>
        </w:rPr>
        <w:t>A seguito delle intese intercorse e a fronte dell’incarico affidatoLe è previsto un compenso omnicomprensivo pari ad euro _______________ ( _______________ /00) al lordo delle ritenute di legge, da corrispondersi previa emissione di regolare nota ed a mezzo bonifico bancario alle coordinate che Lei si impegnerà a fornire allo / alla Scrivente</w:t>
      </w:r>
      <w:r w:rsidRPr="00CC00D4">
        <w:rPr>
          <w:rFonts w:cs="Tahoma"/>
          <w:bCs/>
          <w:szCs w:val="20"/>
        </w:rPr>
        <w:t>”;</w:t>
      </w:r>
    </w:p>
    <w:p w14:paraId="1F2522B7" w14:textId="77777777" w:rsidR="002558B3" w:rsidRPr="00CC00D4" w:rsidRDefault="002558B3">
      <w:pPr>
        <w:pStyle w:val="Paragrafoelenco"/>
        <w:numPr>
          <w:ilvl w:val="0"/>
          <w:numId w:val="99"/>
        </w:numPr>
        <w:autoSpaceDN w:val="0"/>
        <w:ind w:left="709" w:hanging="357"/>
        <w:contextualSpacing/>
        <w:textAlignment w:val="baseline"/>
        <w:rPr>
          <w:rFonts w:cs="Tahoma"/>
          <w:szCs w:val="20"/>
        </w:rPr>
      </w:pPr>
      <w:r w:rsidRPr="00CC00D4">
        <w:rPr>
          <w:rFonts w:cs="Tahoma"/>
          <w:bCs/>
          <w:szCs w:val="20"/>
        </w:rPr>
        <w:t>L’impegno del lavoratore a rendere informazioni circa l’eventuale superamento del limite dei 5 mila euro</w:t>
      </w:r>
      <w:r w:rsidRPr="00CC00D4">
        <w:rPr>
          <w:rFonts w:cs="Tahoma"/>
          <w:bCs/>
          <w:i/>
          <w:szCs w:val="20"/>
        </w:rPr>
        <w:t xml:space="preserve"> </w:t>
      </w:r>
      <w:r w:rsidRPr="00CC00D4">
        <w:rPr>
          <w:rFonts w:cs="Tahoma"/>
          <w:bCs/>
          <w:szCs w:val="20"/>
        </w:rPr>
        <w:t>“</w:t>
      </w:r>
      <w:r w:rsidRPr="00CC00D4">
        <w:rPr>
          <w:rFonts w:cs="Tahoma"/>
          <w:bCs/>
          <w:i/>
          <w:szCs w:val="20"/>
        </w:rPr>
        <w:t xml:space="preserve">Con la sottoscrizione della presente lettera di incarico Lei si impegna a fornire allo / alla Scrivente _______________ qualsiasi informazione utile al corretto adempimento degli obblighi di versamento </w:t>
      </w:r>
      <w:r w:rsidRPr="00CC00D4">
        <w:rPr>
          <w:rFonts w:cs="Tahoma"/>
          <w:bCs/>
          <w:i/>
          <w:szCs w:val="20"/>
        </w:rPr>
        <w:lastRenderedPageBreak/>
        <w:t>e denuncia dei contributi alla Gestione Separata INPS ai sensi dell’articolo 44 nel Decreto legge 30 settembre 2003 numero 269 (convertito con modificazioni in Legge 24 novembre 2003 numero 326)</w:t>
      </w:r>
      <w:r w:rsidRPr="00CC00D4">
        <w:rPr>
          <w:rFonts w:cs="Tahoma"/>
          <w:bCs/>
          <w:szCs w:val="20"/>
        </w:rPr>
        <w:t>”;</w:t>
      </w:r>
    </w:p>
    <w:p w14:paraId="6EB17BFA" w14:textId="77777777" w:rsidR="002558B3" w:rsidRPr="00CC00D4" w:rsidRDefault="002558B3">
      <w:pPr>
        <w:pStyle w:val="Paragrafoelenco"/>
        <w:numPr>
          <w:ilvl w:val="0"/>
          <w:numId w:val="99"/>
        </w:numPr>
        <w:autoSpaceDN w:val="0"/>
        <w:ind w:left="709"/>
        <w:textAlignment w:val="baseline"/>
        <w:rPr>
          <w:rFonts w:cs="Tahoma"/>
          <w:szCs w:val="20"/>
        </w:rPr>
      </w:pPr>
      <w:r w:rsidRPr="00CC00D4">
        <w:rPr>
          <w:rFonts w:cs="Tahoma"/>
          <w:bCs/>
          <w:szCs w:val="20"/>
        </w:rPr>
        <w:t>Il richiamo ad eventuali cause di risoluzione dell’incarico oltre alle modalità (ed al preavviso) per manifestare tale volontà.</w:t>
      </w:r>
    </w:p>
    <w:p w14:paraId="29EE1A30" w14:textId="77777777" w:rsidR="002558B3" w:rsidRPr="00CC00D4" w:rsidRDefault="002558B3" w:rsidP="000503FE">
      <w:r w:rsidRPr="00CC00D4">
        <w:t>Di seguito un esempio completo di lettera di incarico.</w:t>
      </w:r>
    </w:p>
    <w:p w14:paraId="00EA5ABC" w14:textId="1ACDA31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Luogo e data</w:t>
      </w:r>
    </w:p>
    <w:p w14:paraId="39A7939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Dati del Committente</w:t>
      </w:r>
    </w:p>
    <w:p w14:paraId="6CD5277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Dati del Lavoratore</w:t>
      </w:r>
    </w:p>
    <w:p w14:paraId="4859282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Oggetto: Lettera di incarico per lavoro autonomo occasionale ai sensi dell’articolo 2222 Codice Civile.</w:t>
      </w:r>
    </w:p>
    <w:p w14:paraId="1F6715B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Con la presente Le comunichiamo che a seguito delle intese intercorse ed ai sensi dell’articolo 2222 Codice Civile Lei si impegna a svolgere la seguente attività _______________ in modo occasionale ed autonomo, senza alcun assoggettamento al potere gerarchico, direttivo e disciplinare esercitato dallo / dalla Scrivente _______________ (di seguito “il / la Committente”).</w:t>
      </w:r>
    </w:p>
    <w:p w14:paraId="50B8353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Nel rispetto della natura autonoma dell’incarico, il / la Committente si riserva di fornire indicazioni di massima sui contenuti della prestazione.</w:t>
      </w:r>
    </w:p>
    <w:p w14:paraId="45DE59D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Nel rendere l’attività Lei potrà avvalersi della nostra struttura, concordando la presenza nei locali aziendali con il / la Sig. / Sig.ra ______________ il / la quale riveste la qualifica di _______________</w:t>
      </w:r>
      <w:r w:rsidRPr="00CC00D4">
        <w:rPr>
          <w:rFonts w:ascii="Tahoma" w:hAnsi="Tahoma" w:cs="Tahoma"/>
          <w:bCs/>
          <w:kern w:val="0"/>
          <w:sz w:val="20"/>
          <w:szCs w:val="20"/>
        </w:rPr>
        <w:t>.</w:t>
      </w:r>
    </w:p>
    <w:p w14:paraId="7E2A802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Il / La Committente si impegna ad informarla preventivamente circa i rischi presenti nei locali aziendali, nonché di quelli attinenti l’attività di _______________ oggetto della presente lettera di incarico.</w:t>
      </w:r>
    </w:p>
    <w:p w14:paraId="3F831E3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A seguito delle intese intercorse e a fronte dell’incarico affidatoLe è previsto un compenso omnicomprensivo pari ad euro __________________ ( _______________ /00) al lordo delle ritenute di legge, da corrispondersi previa emissione di regolare nota ed a mezzo bonifico bancario alle coordinate che Lei si impegnerà a fornire al / alla Committente.</w:t>
      </w:r>
    </w:p>
    <w:p w14:paraId="242B6A9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Con la sottoscrizione della presente lettera di incarico Lei si impegna a fornire qualsiasi informazione utile al corretto adempimento degli obblighi di versamento dei contributi alla Gestione Separata INPS ai sensi dell’articolo 44 nel Decreto legge 30 settembre 2003 numero 269 (convertito con modificazioni in Legge 24 novembre 2003 numero 326).</w:t>
      </w:r>
    </w:p>
    <w:p w14:paraId="30A5F72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La presente lettera di incarico ha validità sino ad esplicita revoca comunicata alla controparte a mezzo raccomandata A/R o posta elettronica certificata nel rispetto del termine di preavviso di giorni_______.</w:t>
      </w:r>
    </w:p>
    <w:p w14:paraId="6A0879F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lastRenderedPageBreak/>
        <w:t>Con l’occasione Le porgiamo i nostri più cordiali saluti.</w:t>
      </w:r>
    </w:p>
    <w:p w14:paraId="623D271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Firma Committente</w:t>
      </w:r>
    </w:p>
    <w:p w14:paraId="5F1290E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Per ricevuta ed accettazione</w:t>
      </w:r>
    </w:p>
    <w:p w14:paraId="664EA492" w14:textId="48CD32B7" w:rsidR="002558B3" w:rsidRPr="00CC00D4" w:rsidRDefault="002558B3" w:rsidP="002558B3">
      <w:pPr>
        <w:pStyle w:val="Standard"/>
        <w:spacing w:after="200" w:line="360" w:lineRule="auto"/>
        <w:jc w:val="both"/>
        <w:rPr>
          <w:rFonts w:ascii="Tahoma" w:hAnsi="Tahoma" w:cs="Tahoma"/>
          <w:bCs/>
          <w:i/>
          <w:kern w:val="0"/>
          <w:sz w:val="20"/>
          <w:szCs w:val="20"/>
        </w:rPr>
      </w:pPr>
      <w:r w:rsidRPr="00CC00D4">
        <w:rPr>
          <w:rFonts w:ascii="Tahoma" w:hAnsi="Tahoma" w:cs="Tahoma"/>
          <w:bCs/>
          <w:i/>
          <w:kern w:val="0"/>
          <w:sz w:val="20"/>
          <w:szCs w:val="20"/>
        </w:rPr>
        <w:t>Firma Lavoratore</w:t>
      </w:r>
    </w:p>
    <w:p w14:paraId="031F7B90" w14:textId="77777777" w:rsidR="00634069" w:rsidRPr="00CC00D4" w:rsidRDefault="00634069" w:rsidP="002558B3">
      <w:pPr>
        <w:pStyle w:val="Standard"/>
        <w:spacing w:after="200" w:line="360" w:lineRule="auto"/>
        <w:jc w:val="both"/>
        <w:rPr>
          <w:rFonts w:ascii="Tahoma" w:hAnsi="Tahoma" w:cs="Tahoma"/>
          <w:kern w:val="0"/>
          <w:sz w:val="20"/>
          <w:szCs w:val="20"/>
        </w:rPr>
      </w:pPr>
    </w:p>
    <w:p w14:paraId="720C5206" w14:textId="3C3E7BA0" w:rsidR="002558B3" w:rsidRPr="00CC00D4" w:rsidRDefault="002558B3" w:rsidP="00AB649D">
      <w:pPr>
        <w:pStyle w:val="Titolo2"/>
      </w:pPr>
      <w:bookmarkStart w:id="43" w:name="__RefHeading__4370_1479815270"/>
      <w:bookmarkStart w:id="44" w:name="_Toc92386451"/>
      <w:bookmarkStart w:id="45" w:name="_Toc124266217"/>
      <w:r w:rsidRPr="00CC00D4">
        <w:t>1.</w:t>
      </w:r>
      <w:r w:rsidR="00D96F46" w:rsidRPr="00CC00D4">
        <w:t>7</w:t>
      </w:r>
      <w:r w:rsidRPr="00CC00D4">
        <w:t xml:space="preserve"> Modalità di pagamento dei compensi</w:t>
      </w:r>
      <w:bookmarkEnd w:id="43"/>
      <w:bookmarkEnd w:id="44"/>
      <w:bookmarkEnd w:id="45"/>
    </w:p>
    <w:p w14:paraId="5DB399F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L’articolo 1 comma 910 della Legge 27 dicembre 2017 numero 205 contenente il “</w:t>
      </w:r>
      <w:r w:rsidRPr="00CC00D4">
        <w:rPr>
          <w:rFonts w:ascii="Tahoma" w:hAnsi="Tahoma" w:cs="Tahoma"/>
          <w:i/>
          <w:iCs/>
          <w:kern w:val="0"/>
          <w:sz w:val="20"/>
          <w:szCs w:val="20"/>
        </w:rPr>
        <w:t>Bilancio di previsione dello Stato per l’anno finanziario 2018 e bilancio pluriennale per il triennio 2018-2020</w:t>
      </w:r>
      <w:r w:rsidRPr="00CC00D4">
        <w:rPr>
          <w:rFonts w:ascii="Tahoma" w:hAnsi="Tahoma" w:cs="Tahoma"/>
          <w:iCs/>
          <w:kern w:val="0"/>
          <w:sz w:val="20"/>
          <w:szCs w:val="20"/>
        </w:rPr>
        <w:t>” ha previsto a far data dal 1° luglio 2018 l’obbligo per datori di lavoro e committenti di corrispondere la retribuzione, nonché ogni anticipo di essa, attraverso “</w:t>
      </w:r>
      <w:r w:rsidRPr="00CC00D4">
        <w:rPr>
          <w:rFonts w:ascii="Tahoma" w:hAnsi="Tahoma" w:cs="Tahoma"/>
          <w:i/>
          <w:iCs/>
          <w:kern w:val="0"/>
          <w:sz w:val="20"/>
          <w:szCs w:val="20"/>
        </w:rPr>
        <w:t>una banca o un ufficio postale con uno dei seguenti mezzi</w:t>
      </w:r>
      <w:r w:rsidRPr="00CC00D4">
        <w:rPr>
          <w:rFonts w:ascii="Tahoma" w:hAnsi="Tahoma" w:cs="Tahoma"/>
          <w:iCs/>
          <w:kern w:val="0"/>
          <w:sz w:val="20"/>
          <w:szCs w:val="20"/>
        </w:rPr>
        <w:t>”:</w:t>
      </w:r>
    </w:p>
    <w:p w14:paraId="4E26F7F1" w14:textId="77777777" w:rsidR="002558B3" w:rsidRPr="00CC00D4" w:rsidRDefault="002558B3">
      <w:pPr>
        <w:pStyle w:val="Paragrafoelenco"/>
        <w:numPr>
          <w:ilvl w:val="0"/>
          <w:numId w:val="63"/>
        </w:numPr>
        <w:autoSpaceDN w:val="0"/>
        <w:ind w:left="709" w:hanging="357"/>
        <w:contextualSpacing/>
        <w:textAlignment w:val="baseline"/>
        <w:rPr>
          <w:rFonts w:cs="Tahoma"/>
          <w:szCs w:val="20"/>
        </w:rPr>
      </w:pPr>
      <w:r w:rsidRPr="00CC00D4">
        <w:rPr>
          <w:rFonts w:cs="Tahoma"/>
          <w:iCs/>
          <w:szCs w:val="20"/>
        </w:rPr>
        <w:t>Bonifico sul conto identificato dal codice IBAN indicato dal lavoratore;</w:t>
      </w:r>
    </w:p>
    <w:p w14:paraId="4802B683" w14:textId="77777777" w:rsidR="002558B3" w:rsidRPr="00CC00D4" w:rsidRDefault="002558B3">
      <w:pPr>
        <w:pStyle w:val="Paragrafoelenco"/>
        <w:numPr>
          <w:ilvl w:val="0"/>
          <w:numId w:val="63"/>
        </w:numPr>
        <w:autoSpaceDN w:val="0"/>
        <w:ind w:left="709" w:hanging="357"/>
        <w:contextualSpacing/>
        <w:textAlignment w:val="baseline"/>
        <w:rPr>
          <w:rFonts w:cs="Tahoma"/>
          <w:szCs w:val="20"/>
        </w:rPr>
      </w:pPr>
      <w:r w:rsidRPr="00CC00D4">
        <w:rPr>
          <w:rFonts w:cs="Tahoma"/>
          <w:iCs/>
          <w:szCs w:val="20"/>
        </w:rPr>
        <w:t>Strumenti di pagamento elettronico;</w:t>
      </w:r>
    </w:p>
    <w:p w14:paraId="2B2090E3" w14:textId="77777777" w:rsidR="002558B3" w:rsidRPr="00CC00D4" w:rsidRDefault="002558B3">
      <w:pPr>
        <w:pStyle w:val="Paragrafoelenco"/>
        <w:numPr>
          <w:ilvl w:val="0"/>
          <w:numId w:val="63"/>
        </w:numPr>
        <w:autoSpaceDN w:val="0"/>
        <w:ind w:left="709" w:hanging="357"/>
        <w:contextualSpacing/>
        <w:textAlignment w:val="baseline"/>
        <w:rPr>
          <w:rFonts w:cs="Tahoma"/>
          <w:szCs w:val="20"/>
        </w:rPr>
      </w:pPr>
      <w:r w:rsidRPr="00CC00D4">
        <w:rPr>
          <w:rFonts w:cs="Tahoma"/>
          <w:iCs/>
          <w:szCs w:val="20"/>
        </w:rPr>
        <w:t>Pagamento in contanti “</w:t>
      </w:r>
      <w:r w:rsidRPr="00CC00D4">
        <w:rPr>
          <w:rFonts w:cs="Tahoma"/>
          <w:i/>
          <w:iCs/>
          <w:szCs w:val="20"/>
        </w:rPr>
        <w:t>presso lo sportello bancario o postale dove il datore di lavoro abbia aperto un conto corrente di tesoreria con mandato di pagamento</w:t>
      </w:r>
      <w:r w:rsidRPr="00CC00D4">
        <w:rPr>
          <w:rFonts w:cs="Tahoma"/>
          <w:iCs/>
          <w:szCs w:val="20"/>
        </w:rPr>
        <w:t>”;</w:t>
      </w:r>
    </w:p>
    <w:p w14:paraId="1B633161" w14:textId="77777777" w:rsidR="002558B3" w:rsidRPr="00CC00D4" w:rsidRDefault="002558B3">
      <w:pPr>
        <w:pStyle w:val="Paragrafoelenco"/>
        <w:numPr>
          <w:ilvl w:val="0"/>
          <w:numId w:val="63"/>
        </w:numPr>
        <w:autoSpaceDN w:val="0"/>
        <w:ind w:left="709"/>
        <w:textAlignment w:val="baseline"/>
        <w:rPr>
          <w:rFonts w:cs="Tahoma"/>
          <w:szCs w:val="20"/>
        </w:rPr>
      </w:pPr>
      <w:r w:rsidRPr="00CC00D4">
        <w:rPr>
          <w:rFonts w:cs="Tahoma"/>
          <w:iCs/>
          <w:szCs w:val="20"/>
        </w:rPr>
        <w:t>Emissione di “</w:t>
      </w:r>
      <w:r w:rsidRPr="00CC00D4">
        <w:rPr>
          <w:rFonts w:cs="Tahoma"/>
          <w:i/>
          <w:iCs/>
          <w:szCs w:val="20"/>
        </w:rPr>
        <w:t>un assegno consegnato direttamente al lavoratore o, in caso di suo comprovato impedimento, a un suo delegato</w:t>
      </w:r>
      <w:r w:rsidRPr="00CC00D4">
        <w:rPr>
          <w:rFonts w:cs="Tahoma"/>
          <w:iCs/>
          <w:szCs w:val="20"/>
        </w:rPr>
        <w:t>”.</w:t>
      </w:r>
    </w:p>
    <w:p w14:paraId="476A12B5" w14:textId="77777777" w:rsidR="002558B3" w:rsidRPr="00CC00D4" w:rsidRDefault="002558B3" w:rsidP="0051729A">
      <w:r w:rsidRPr="00CC00D4">
        <w:t>I commi successivi prevedono che:</w:t>
      </w:r>
    </w:p>
    <w:p w14:paraId="4B5C73A2" w14:textId="77777777" w:rsidR="002558B3" w:rsidRPr="00CC00D4" w:rsidRDefault="002558B3">
      <w:pPr>
        <w:pStyle w:val="Paragrafoelenco"/>
        <w:numPr>
          <w:ilvl w:val="0"/>
          <w:numId w:val="62"/>
        </w:numPr>
        <w:autoSpaceDN w:val="0"/>
        <w:ind w:left="709" w:hanging="357"/>
        <w:contextualSpacing/>
        <w:textAlignment w:val="baseline"/>
        <w:rPr>
          <w:rFonts w:cs="Tahoma"/>
          <w:szCs w:val="20"/>
        </w:rPr>
      </w:pPr>
      <w:r w:rsidRPr="00CC00D4">
        <w:rPr>
          <w:rFonts w:cs="Tahoma"/>
          <w:iCs/>
          <w:szCs w:val="20"/>
        </w:rPr>
        <w:t>I datori di lavoro ed i committenti non possono corrispondere la retribuzione “</w:t>
      </w:r>
      <w:r w:rsidRPr="00CC00D4">
        <w:rPr>
          <w:rFonts w:cs="Tahoma"/>
          <w:i/>
          <w:iCs/>
          <w:szCs w:val="20"/>
        </w:rPr>
        <w:t>per mezzo di denaro contante direttamente al lavoratore, qualunque sia la tipologia del rapporto di lavoro instaurato</w:t>
      </w:r>
      <w:r w:rsidRPr="00CC00D4">
        <w:rPr>
          <w:rFonts w:cs="Tahoma"/>
          <w:iCs/>
          <w:szCs w:val="20"/>
        </w:rPr>
        <w:t>” (comma 911);</w:t>
      </w:r>
    </w:p>
    <w:p w14:paraId="34CCEB70" w14:textId="77777777" w:rsidR="002558B3" w:rsidRPr="00CC00D4" w:rsidRDefault="002558B3">
      <w:pPr>
        <w:pStyle w:val="Paragrafoelenco"/>
        <w:numPr>
          <w:ilvl w:val="0"/>
          <w:numId w:val="62"/>
        </w:numPr>
        <w:autoSpaceDN w:val="0"/>
        <w:ind w:left="709"/>
        <w:textAlignment w:val="baseline"/>
        <w:rPr>
          <w:rFonts w:cs="Tahoma"/>
          <w:szCs w:val="20"/>
        </w:rPr>
      </w:pPr>
      <w:r w:rsidRPr="00CC00D4">
        <w:rPr>
          <w:rFonts w:cs="Tahoma"/>
          <w:iCs/>
          <w:szCs w:val="20"/>
        </w:rPr>
        <w:t>Per rapporto di lavoro si intende “</w:t>
      </w:r>
      <w:r w:rsidRPr="00CC00D4">
        <w:rPr>
          <w:rFonts w:cs="Tahoma"/>
          <w:i/>
          <w:iCs/>
          <w:szCs w:val="20"/>
        </w:rPr>
        <w:t>ogni rapporto di lavoro subordinato di cui all’articolo 2094 del codice civile, indipendentemente dalle modalità di svolgimento della prestazione e dalla durata del rapporto</w:t>
      </w:r>
      <w:r w:rsidRPr="00CC00D4">
        <w:rPr>
          <w:rFonts w:cs="Tahoma"/>
          <w:iCs/>
          <w:szCs w:val="20"/>
        </w:rPr>
        <w:t>”, oltre ai contratti di collaborazione coordinata e continuativa ovvero instaurati con i soci lavoratori di cooperative.</w:t>
      </w:r>
    </w:p>
    <w:p w14:paraId="3470FC8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Con l’obiettivo di fornire chiarimenti in merito agli obblighi introdotti dalla Manovra 2018, l’Ispettorato Nazionale del Lavoro è intervenuto con la </w:t>
      </w:r>
      <w:hyperlink r:id="rId23" w:history="1">
        <w:r w:rsidRPr="00CC00D4">
          <w:rPr>
            <w:rStyle w:val="Collegamentoipertestuale"/>
            <w:rFonts w:ascii="Tahoma" w:hAnsi="Tahoma" w:cs="Tahoma"/>
            <w:iCs/>
            <w:kern w:val="0"/>
            <w:sz w:val="20"/>
            <w:szCs w:val="20"/>
          </w:rPr>
          <w:t>Nota del 22 maggio 2018 numero 4538</w:t>
        </w:r>
      </w:hyperlink>
      <w:r w:rsidRPr="00CC00D4">
        <w:rPr>
          <w:rFonts w:ascii="Tahoma" w:hAnsi="Tahoma" w:cs="Tahoma"/>
          <w:iCs/>
          <w:kern w:val="0"/>
          <w:sz w:val="20"/>
          <w:szCs w:val="20"/>
        </w:rPr>
        <w:t>. Nel documento si afferma che sono esclusi dagli obblighi di legge “</w:t>
      </w:r>
      <w:r w:rsidRPr="00CC00D4">
        <w:rPr>
          <w:rFonts w:ascii="Tahoma" w:hAnsi="Tahoma" w:cs="Tahoma"/>
          <w:i/>
          <w:iCs/>
          <w:kern w:val="0"/>
          <w:sz w:val="20"/>
          <w:szCs w:val="20"/>
        </w:rPr>
        <w:t>in quanto non espressamente richiamati dal comma 912, i compensi derivanti da borse di studio, tirocini, rapporti autonomi di natura occasionale</w:t>
      </w:r>
      <w:r w:rsidRPr="00CC00D4">
        <w:rPr>
          <w:rFonts w:ascii="Tahoma" w:hAnsi="Tahoma" w:cs="Tahoma"/>
          <w:iCs/>
          <w:kern w:val="0"/>
          <w:sz w:val="20"/>
          <w:szCs w:val="20"/>
        </w:rPr>
        <w:t>”.</w:t>
      </w:r>
    </w:p>
    <w:p w14:paraId="6D93D26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 xml:space="preserve">Il riferimento è naturalmente agli incarichi di lavoro autonomo occasionale ai sensi dell’articolo 2222 del Codice </w:t>
      </w:r>
      <w:r w:rsidRPr="00CC00D4">
        <w:rPr>
          <w:rFonts w:ascii="Tahoma" w:hAnsi="Tahoma" w:cs="Tahoma"/>
          <w:iCs/>
          <w:kern w:val="0"/>
          <w:sz w:val="20"/>
          <w:szCs w:val="20"/>
        </w:rPr>
        <w:lastRenderedPageBreak/>
        <w:t>Civile.</w:t>
      </w:r>
    </w:p>
    <w:p w14:paraId="5AFAB43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Di conseguenza, in assenza di qualsiasi obbligo di legge, le parti restano libere di definire nella lettera di incarico la modalità di erogazione del compenso.</w:t>
      </w:r>
    </w:p>
    <w:p w14:paraId="5EDFBDC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Sul punto è bene precisare che nonostante il limite all’utilizzo dei contanti, ridotto a 1.000 euro dal 1° gennaio 2022 (rispetto al precedente tetto di 3 mila euro), non si estenda al lavoro autonomo occasionale, l’Amministrazione finanziaria ha comunque il potere di verificare in concreto la natura e la liceità di qualsiasi operazione.</w:t>
      </w:r>
    </w:p>
    <w:p w14:paraId="488140EE" w14:textId="77777777" w:rsidR="002558B3" w:rsidRPr="00CC00D4" w:rsidRDefault="002558B3" w:rsidP="002558B3">
      <w:pPr>
        <w:pStyle w:val="Standard"/>
        <w:spacing w:after="200" w:line="360" w:lineRule="auto"/>
        <w:jc w:val="both"/>
        <w:rPr>
          <w:rFonts w:ascii="Tahoma" w:hAnsi="Tahoma" w:cs="Tahoma"/>
          <w:iCs/>
          <w:kern w:val="0"/>
          <w:sz w:val="20"/>
          <w:szCs w:val="20"/>
        </w:rPr>
      </w:pPr>
      <w:r w:rsidRPr="00CC00D4">
        <w:rPr>
          <w:rFonts w:ascii="Tahoma" w:hAnsi="Tahoma" w:cs="Tahoma"/>
          <w:iCs/>
          <w:kern w:val="0"/>
          <w:sz w:val="20"/>
          <w:szCs w:val="20"/>
        </w:rPr>
        <w:t>In tal senso è opportuno (e consigliabile) utilizzare strumenti di pagamento tracciabili, siano essi l’accredito bancario o l’assegno e, più in generale, i mezzi indicati all’articolo 1 comma 910 della Legge 27 dicembre 2017 numero 205.</w:t>
      </w:r>
    </w:p>
    <w:p w14:paraId="21A4D409" w14:textId="77777777" w:rsidR="0051729A" w:rsidRPr="00CC00D4" w:rsidRDefault="0051729A" w:rsidP="002558B3">
      <w:pPr>
        <w:pStyle w:val="Standard"/>
        <w:spacing w:after="200" w:line="360" w:lineRule="auto"/>
        <w:jc w:val="both"/>
        <w:rPr>
          <w:rFonts w:ascii="Tahoma" w:hAnsi="Tahoma" w:cs="Tahoma"/>
          <w:kern w:val="0"/>
          <w:sz w:val="20"/>
          <w:szCs w:val="20"/>
        </w:rPr>
      </w:pPr>
    </w:p>
    <w:p w14:paraId="4B67347C" w14:textId="28281842" w:rsidR="002558B3" w:rsidRPr="00CC00D4" w:rsidRDefault="002558B3" w:rsidP="00AB649D">
      <w:pPr>
        <w:pStyle w:val="Titolo2"/>
      </w:pPr>
      <w:bookmarkStart w:id="46" w:name="__RefHeading__4372_1479815270"/>
      <w:bookmarkStart w:id="47" w:name="_Toc92386452"/>
      <w:bookmarkStart w:id="48" w:name="_Toc124266218"/>
      <w:r w:rsidRPr="00CC00D4">
        <w:t>1.</w:t>
      </w:r>
      <w:r w:rsidR="00D96F46" w:rsidRPr="00CC00D4">
        <w:t>8</w:t>
      </w:r>
      <w:r w:rsidRPr="00CC00D4">
        <w:t xml:space="preserve"> Nota di pagamento</w:t>
      </w:r>
      <w:bookmarkEnd w:id="46"/>
      <w:bookmarkEnd w:id="47"/>
      <w:bookmarkEnd w:id="48"/>
    </w:p>
    <w:p w14:paraId="5155635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L’erogazione del compenso per la prestazione di lavoro autonomo occasionale avviene di norma, nel rispetto di quanto precisato nella lettera di incarico, previa presentazione di una nota o richiesta di pagamento.</w:t>
      </w:r>
    </w:p>
    <w:p w14:paraId="53D203A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Le modalità di invio del documento variano in base a quanto concordato tra le parti: si può prevedere ad esempio la consegna del documento cartaceo o l’invio via mail o posta elettronica certificata.</w:t>
      </w:r>
    </w:p>
    <w:p w14:paraId="3AE4380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Ecco un esempio di nota di pagamento.</w:t>
      </w:r>
    </w:p>
    <w:p w14:paraId="60471EA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Dati del Lavoratore</w:t>
      </w:r>
    </w:p>
    <w:p w14:paraId="236F643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Dati del Committente destinatario</w:t>
      </w:r>
    </w:p>
    <w:p w14:paraId="0363E49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Oggetto: Nota di pagamento relativa a compensi derivanti da prestazioni di lavoro autonomo occasionale ai sensi dell’articolo 2222 Codice Civile.</w:t>
      </w:r>
    </w:p>
    <w:p w14:paraId="2A44B26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 xml:space="preserve">Richiesta n° </w:t>
      </w:r>
      <w:r w:rsidRPr="00CC00D4">
        <w:rPr>
          <w:rFonts w:ascii="Tahoma" w:hAnsi="Tahoma" w:cs="Tahoma"/>
          <w:bCs/>
          <w:i/>
          <w:kern w:val="0"/>
          <w:sz w:val="20"/>
          <w:szCs w:val="20"/>
        </w:rPr>
        <w:t>_______ del _______.</w:t>
      </w:r>
    </w:p>
    <w:p w14:paraId="287CA21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Il / la sottoscritto / a ____________________________________________</w:t>
      </w:r>
    </w:p>
    <w:p w14:paraId="5063E8B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nato / a a ___________________________ il ________________________</w:t>
      </w:r>
    </w:p>
    <w:p w14:paraId="23E34E1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codice fiscale __________________________________________________</w:t>
      </w:r>
    </w:p>
    <w:p w14:paraId="6238404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e residente a __________________________ provincia ________________</w:t>
      </w:r>
    </w:p>
    <w:p w14:paraId="230758F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lastRenderedPageBreak/>
        <w:t>cap _______</w:t>
      </w:r>
    </w:p>
    <w:p w14:paraId="6BEC956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i/>
          <w:kern w:val="0"/>
          <w:sz w:val="20"/>
          <w:szCs w:val="20"/>
        </w:rPr>
        <w:t>Premesso che</w:t>
      </w:r>
    </w:p>
    <w:p w14:paraId="6E2D8269" w14:textId="77777777" w:rsidR="002558B3" w:rsidRPr="00CC00D4" w:rsidRDefault="002558B3">
      <w:pPr>
        <w:pStyle w:val="Paragrafoelenco"/>
        <w:numPr>
          <w:ilvl w:val="0"/>
          <w:numId w:val="204"/>
        </w:numPr>
        <w:autoSpaceDN w:val="0"/>
        <w:ind w:left="709" w:hanging="357"/>
        <w:contextualSpacing/>
        <w:textAlignment w:val="baseline"/>
        <w:rPr>
          <w:rFonts w:cs="Tahoma"/>
          <w:szCs w:val="20"/>
        </w:rPr>
      </w:pPr>
      <w:r w:rsidRPr="00CC00D4">
        <w:rPr>
          <w:rFonts w:cs="Tahoma"/>
          <w:i/>
          <w:szCs w:val="20"/>
        </w:rPr>
        <w:t>Ha svolto l’attività di ______________________________________ in favore di_____________________ in virtù dell’incarico conferito con lettera del __________________ sottoscritta da entrambe le parti;</w:t>
      </w:r>
    </w:p>
    <w:p w14:paraId="62F0F43F" w14:textId="77777777" w:rsidR="002558B3" w:rsidRPr="00CC00D4" w:rsidRDefault="002558B3">
      <w:pPr>
        <w:pStyle w:val="Paragrafoelenco"/>
        <w:numPr>
          <w:ilvl w:val="0"/>
          <w:numId w:val="204"/>
        </w:numPr>
        <w:autoSpaceDN w:val="0"/>
        <w:ind w:left="709"/>
        <w:textAlignment w:val="baseline"/>
        <w:rPr>
          <w:rFonts w:cs="Tahoma"/>
          <w:szCs w:val="20"/>
        </w:rPr>
      </w:pPr>
      <w:r w:rsidRPr="00CC00D4">
        <w:rPr>
          <w:rFonts w:cs="Tahoma"/>
          <w:i/>
          <w:szCs w:val="20"/>
        </w:rPr>
        <w:t>Che la citata lettera ha fissato un compenso pari ad euro ______________ (____________/00) al lordo delle ritenute di legge;</w:t>
      </w:r>
    </w:p>
    <w:p w14:paraId="50D709B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Chiede</w:t>
      </w:r>
    </w:p>
    <w:p w14:paraId="649BF8A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Il pagamento del compenso secondo il seguente prospetto di liquidazione:</w:t>
      </w:r>
    </w:p>
    <w:p w14:paraId="4EA0378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Compenso lordo (A)</w:t>
      </w:r>
      <w:r w:rsidRPr="00CC00D4">
        <w:rPr>
          <w:rFonts w:ascii="Tahoma" w:hAnsi="Tahoma" w:cs="Tahoma"/>
          <w:i/>
          <w:kern w:val="0"/>
          <w:sz w:val="20"/>
          <w:szCs w:val="20"/>
        </w:rPr>
        <w:tab/>
      </w:r>
      <w:r w:rsidRPr="00CC00D4">
        <w:rPr>
          <w:rFonts w:ascii="Tahoma" w:hAnsi="Tahoma" w:cs="Tahoma"/>
          <w:i/>
          <w:kern w:val="0"/>
          <w:sz w:val="20"/>
          <w:szCs w:val="20"/>
        </w:rPr>
        <w:tab/>
      </w:r>
      <w:r w:rsidRPr="00CC00D4">
        <w:rPr>
          <w:rFonts w:ascii="Tahoma" w:hAnsi="Tahoma" w:cs="Tahoma"/>
          <w:i/>
          <w:kern w:val="0"/>
          <w:sz w:val="20"/>
          <w:szCs w:val="20"/>
        </w:rPr>
        <w:tab/>
      </w:r>
      <w:r w:rsidRPr="00CC00D4">
        <w:rPr>
          <w:rFonts w:ascii="Tahoma" w:hAnsi="Tahoma" w:cs="Tahoma"/>
          <w:i/>
          <w:kern w:val="0"/>
          <w:sz w:val="20"/>
          <w:szCs w:val="20"/>
        </w:rPr>
        <w:tab/>
        <w:t>______________</w:t>
      </w:r>
    </w:p>
    <w:p w14:paraId="737FFE3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Ritenuta d’acconto 20% (B)</w:t>
      </w:r>
      <w:r w:rsidRPr="00CC00D4">
        <w:rPr>
          <w:rFonts w:ascii="Tahoma" w:hAnsi="Tahoma" w:cs="Tahoma"/>
          <w:i/>
          <w:kern w:val="0"/>
          <w:sz w:val="20"/>
          <w:szCs w:val="20"/>
        </w:rPr>
        <w:tab/>
      </w:r>
      <w:r w:rsidRPr="00CC00D4">
        <w:rPr>
          <w:rFonts w:ascii="Tahoma" w:hAnsi="Tahoma" w:cs="Tahoma"/>
          <w:i/>
          <w:kern w:val="0"/>
          <w:sz w:val="20"/>
          <w:szCs w:val="20"/>
        </w:rPr>
        <w:tab/>
        <w:t>______________</w:t>
      </w:r>
    </w:p>
    <w:p w14:paraId="1048E76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Importo soggetto a ritenuta INPS</w:t>
      </w:r>
      <w:r w:rsidRPr="00CC00D4">
        <w:rPr>
          <w:rFonts w:ascii="Tahoma" w:hAnsi="Tahoma" w:cs="Tahoma"/>
          <w:i/>
          <w:kern w:val="0"/>
          <w:sz w:val="20"/>
          <w:szCs w:val="20"/>
        </w:rPr>
        <w:tab/>
      </w:r>
      <w:r w:rsidRPr="00CC00D4">
        <w:rPr>
          <w:rFonts w:ascii="Tahoma" w:hAnsi="Tahoma" w:cs="Tahoma"/>
          <w:i/>
          <w:kern w:val="0"/>
          <w:sz w:val="20"/>
          <w:szCs w:val="20"/>
        </w:rPr>
        <w:tab/>
        <w:t>______________</w:t>
      </w:r>
    </w:p>
    <w:p w14:paraId="57E1A59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Importo NON soggetto a ritenuta INPS</w:t>
      </w:r>
      <w:r w:rsidRPr="00CC00D4">
        <w:rPr>
          <w:rFonts w:ascii="Tahoma" w:hAnsi="Tahoma" w:cs="Tahoma"/>
          <w:i/>
          <w:kern w:val="0"/>
          <w:sz w:val="20"/>
          <w:szCs w:val="20"/>
        </w:rPr>
        <w:tab/>
        <w:t>______________</w:t>
      </w:r>
    </w:p>
    <w:p w14:paraId="069A8FE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Imponibile contributivo (arrotondato)</w:t>
      </w:r>
      <w:r w:rsidRPr="00CC00D4">
        <w:rPr>
          <w:rFonts w:ascii="Tahoma" w:hAnsi="Tahoma" w:cs="Tahoma"/>
          <w:i/>
          <w:kern w:val="0"/>
          <w:sz w:val="20"/>
          <w:szCs w:val="20"/>
        </w:rPr>
        <w:tab/>
        <w:t>______________</w:t>
      </w:r>
    </w:p>
    <w:p w14:paraId="728EBED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Ritenuta INPS (1/3) c/lavoratore (C)</w:t>
      </w:r>
      <w:r w:rsidRPr="00CC00D4">
        <w:rPr>
          <w:rFonts w:ascii="Tahoma" w:hAnsi="Tahoma" w:cs="Tahoma"/>
          <w:i/>
          <w:kern w:val="0"/>
          <w:sz w:val="20"/>
          <w:szCs w:val="20"/>
        </w:rPr>
        <w:tab/>
        <w:t>______________</w:t>
      </w:r>
    </w:p>
    <w:p w14:paraId="693D4ED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Netto (A – B – C)</w:t>
      </w:r>
      <w:r w:rsidRPr="00CC00D4">
        <w:rPr>
          <w:rFonts w:ascii="Tahoma" w:hAnsi="Tahoma" w:cs="Tahoma"/>
          <w:i/>
          <w:kern w:val="0"/>
          <w:sz w:val="20"/>
          <w:szCs w:val="20"/>
        </w:rPr>
        <w:tab/>
      </w:r>
      <w:r w:rsidRPr="00CC00D4">
        <w:rPr>
          <w:rFonts w:ascii="Tahoma" w:hAnsi="Tahoma" w:cs="Tahoma"/>
          <w:i/>
          <w:kern w:val="0"/>
          <w:sz w:val="20"/>
          <w:szCs w:val="20"/>
        </w:rPr>
        <w:tab/>
      </w:r>
      <w:r w:rsidRPr="00CC00D4">
        <w:rPr>
          <w:rFonts w:ascii="Tahoma" w:hAnsi="Tahoma" w:cs="Tahoma"/>
          <w:i/>
          <w:kern w:val="0"/>
          <w:sz w:val="20"/>
          <w:szCs w:val="20"/>
        </w:rPr>
        <w:tab/>
      </w:r>
      <w:r w:rsidRPr="00CC00D4">
        <w:rPr>
          <w:rFonts w:ascii="Tahoma" w:hAnsi="Tahoma" w:cs="Tahoma"/>
          <w:i/>
          <w:kern w:val="0"/>
          <w:sz w:val="20"/>
          <w:szCs w:val="20"/>
        </w:rPr>
        <w:tab/>
        <w:t>______________</w:t>
      </w:r>
    </w:p>
    <w:p w14:paraId="7005B80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Il / la sottoscritto / a dichiara di non svolgere tale attività in forma professionale e di non essere altresì titolare di partita IVA.</w:t>
      </w:r>
    </w:p>
    <w:p w14:paraId="2671303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Le somme oggetto della presente nota di pagamento rientrano nella categoria dei cosiddetti “redditi diversi” di cui all’articolo 67, comma 1, lettera l) di cui al Decreto del Presidente della Repubblica 22 dicembre 1986 numero 917 (TUIR) e sono pertanto escluse dal campo di applicazione dell’Imposta sul Valore Aggiunto (IVA) ai sensi dell’articolo 5 del Decreto del Presidente della Repubblica 26 ottobre 1972 numero 633.</w:t>
      </w:r>
    </w:p>
    <w:p w14:paraId="5F549CC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A seguito delle intese intercorse di cui alla lettera di incarico sopra citata, si chiede il pagamento del compenso di euro __________________________</w:t>
      </w:r>
    </w:p>
    <w:p w14:paraId="4C0E76F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(______________________/00) a mezzo___________________________.</w:t>
      </w:r>
    </w:p>
    <w:p w14:paraId="5CC6E020" w14:textId="20183376"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
          <w:kern w:val="0"/>
          <w:sz w:val="20"/>
          <w:szCs w:val="20"/>
        </w:rPr>
        <w:t>In fede</w:t>
      </w:r>
      <w:r w:rsidR="00EE3781">
        <w:rPr>
          <w:rFonts w:ascii="Tahoma" w:hAnsi="Tahoma" w:cs="Tahoma"/>
          <w:kern w:val="0"/>
          <w:sz w:val="20"/>
          <w:szCs w:val="20"/>
        </w:rPr>
        <w:t xml:space="preserve"> </w:t>
      </w:r>
      <w:r w:rsidRPr="00CC00D4">
        <w:rPr>
          <w:rFonts w:ascii="Tahoma" w:hAnsi="Tahoma" w:cs="Tahoma"/>
          <w:i/>
          <w:kern w:val="0"/>
          <w:sz w:val="20"/>
          <w:szCs w:val="20"/>
        </w:rPr>
        <w:t>Firma del Lavoratore</w:t>
      </w:r>
    </w:p>
    <w:p w14:paraId="5C90E09F" w14:textId="4F08C440" w:rsidR="002558B3" w:rsidRPr="00CC00D4" w:rsidRDefault="00781C56" w:rsidP="00AB649D">
      <w:pPr>
        <w:pStyle w:val="Titolo2"/>
      </w:pPr>
      <w:bookmarkStart w:id="49" w:name="__RefHeading__4374_1479815270"/>
      <w:bookmarkStart w:id="50" w:name="_Toc92386453"/>
      <w:r w:rsidRPr="00CC00D4">
        <w:br w:type="page"/>
      </w:r>
      <w:bookmarkStart w:id="51" w:name="_Toc124266219"/>
      <w:r w:rsidR="002558B3" w:rsidRPr="00CC00D4">
        <w:lastRenderedPageBreak/>
        <w:t>1.</w:t>
      </w:r>
      <w:r w:rsidR="00D96F46" w:rsidRPr="00CC00D4">
        <w:t>9</w:t>
      </w:r>
      <w:r w:rsidR="002558B3" w:rsidRPr="00CC00D4">
        <w:t xml:space="preserve"> Le tutele del “Jobs Act lavoratori autonomi”</w:t>
      </w:r>
      <w:bookmarkEnd w:id="49"/>
      <w:bookmarkEnd w:id="50"/>
      <w:bookmarkEnd w:id="51"/>
    </w:p>
    <w:p w14:paraId="3D0626A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Legge 22 maggio 2017 numero 81 (cosiddetto “</w:t>
      </w:r>
      <w:r w:rsidRPr="00CC00D4">
        <w:rPr>
          <w:rFonts w:ascii="Tahoma" w:hAnsi="Tahoma" w:cs="Tahoma"/>
          <w:bCs/>
          <w:i/>
          <w:iCs/>
          <w:kern w:val="0"/>
          <w:sz w:val="20"/>
          <w:szCs w:val="20"/>
        </w:rPr>
        <w:t>Jobs Act</w:t>
      </w:r>
      <w:r w:rsidRPr="00CC00D4">
        <w:rPr>
          <w:rFonts w:ascii="Tahoma" w:hAnsi="Tahoma" w:cs="Tahoma"/>
          <w:bCs/>
          <w:kern w:val="0"/>
          <w:sz w:val="20"/>
          <w:szCs w:val="20"/>
        </w:rPr>
        <w:t xml:space="preserve"> lavoratori autonomi”) ha avuto come obiettivo quello di introdurre una serie di disposizioni finalizzate a tutelare i lavoratori autonomi non imprenditori.</w:t>
      </w:r>
    </w:p>
    <w:p w14:paraId="3004B36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L’articolo 1 include tra i rapporti meritevoli di tutela quelli di “</w:t>
      </w:r>
      <w:r w:rsidRPr="00CC00D4">
        <w:rPr>
          <w:rFonts w:ascii="Tahoma" w:hAnsi="Tahoma" w:cs="Tahoma"/>
          <w:bCs/>
          <w:i/>
          <w:iCs/>
          <w:kern w:val="0"/>
          <w:sz w:val="20"/>
          <w:szCs w:val="20"/>
        </w:rPr>
        <w:t>lavoro autonomo di cui al titolo III del libro quinto del codice civile, ivi inclusi i rapporti di lavoro autonomo che hanno una disciplina particolare ai sensi dell’articolo 2222 del codice civile</w:t>
      </w:r>
      <w:r w:rsidRPr="00CC00D4">
        <w:rPr>
          <w:rFonts w:ascii="Tahoma" w:hAnsi="Tahoma" w:cs="Tahoma"/>
          <w:bCs/>
          <w:kern w:val="0"/>
          <w:sz w:val="20"/>
          <w:szCs w:val="20"/>
        </w:rPr>
        <w:t>”.</w:t>
      </w:r>
    </w:p>
    <w:p w14:paraId="3F64144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al contrario esclusi dall’ambito di applicazione del “Jobs Act autonomi” (articolo 1 comma 2) gli “</w:t>
      </w:r>
      <w:r w:rsidRPr="00CC00D4">
        <w:rPr>
          <w:rFonts w:ascii="Tahoma" w:hAnsi="Tahoma" w:cs="Tahoma"/>
          <w:bCs/>
          <w:i/>
          <w:iCs/>
          <w:kern w:val="0"/>
          <w:sz w:val="20"/>
          <w:szCs w:val="20"/>
        </w:rPr>
        <w:t>imprenditori, ivi compresi i piccoli imprenditori di cui all’articolo 2083 del codice civile</w:t>
      </w:r>
      <w:r w:rsidRPr="00CC00D4">
        <w:rPr>
          <w:rFonts w:ascii="Tahoma" w:hAnsi="Tahoma" w:cs="Tahoma"/>
          <w:bCs/>
          <w:kern w:val="0"/>
          <w:sz w:val="20"/>
          <w:szCs w:val="20"/>
        </w:rPr>
        <w:t>”. Ci si riferisce in particolare a:</w:t>
      </w:r>
    </w:p>
    <w:p w14:paraId="7D6A7354" w14:textId="77777777" w:rsidR="002558B3" w:rsidRPr="00CC00D4" w:rsidRDefault="002558B3">
      <w:pPr>
        <w:pStyle w:val="Paragrafoelenco"/>
        <w:numPr>
          <w:ilvl w:val="0"/>
          <w:numId w:val="65"/>
        </w:numPr>
        <w:autoSpaceDN w:val="0"/>
        <w:ind w:left="709" w:hanging="357"/>
        <w:contextualSpacing/>
        <w:textAlignment w:val="baseline"/>
        <w:rPr>
          <w:rFonts w:cs="Tahoma"/>
          <w:szCs w:val="20"/>
        </w:rPr>
      </w:pPr>
      <w:r w:rsidRPr="00CC00D4">
        <w:rPr>
          <w:rFonts w:cs="Tahoma"/>
          <w:bCs/>
          <w:szCs w:val="20"/>
        </w:rPr>
        <w:t>Imprenditori;</w:t>
      </w:r>
    </w:p>
    <w:p w14:paraId="77D75CAA" w14:textId="77777777" w:rsidR="002558B3" w:rsidRPr="00CC00D4" w:rsidRDefault="002558B3">
      <w:pPr>
        <w:pStyle w:val="Paragrafoelenco"/>
        <w:numPr>
          <w:ilvl w:val="0"/>
          <w:numId w:val="65"/>
        </w:numPr>
        <w:autoSpaceDN w:val="0"/>
        <w:ind w:left="709"/>
        <w:textAlignment w:val="baseline"/>
        <w:rPr>
          <w:rFonts w:cs="Tahoma"/>
          <w:szCs w:val="20"/>
        </w:rPr>
      </w:pPr>
      <w:r w:rsidRPr="00CC00D4">
        <w:rPr>
          <w:rFonts w:cs="Tahoma"/>
          <w:bCs/>
          <w:szCs w:val="20"/>
        </w:rPr>
        <w:t>“Piccoli imprenditori” quali coltivatori diretti, artigiani, piccoli commercianti nonché coloro che esercitano un’attività professionale organizzata prevalentemente con lavoro proprio e dei componenti della famiglia.</w:t>
      </w:r>
    </w:p>
    <w:p w14:paraId="1C0AEF6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Di conseguenza, anche i rapporti di lavoro autonomo occasionale rientrano nella platea dei beneficiari delle norme di cui alla Legge numero 81/2017.</w:t>
      </w:r>
    </w:p>
    <w:p w14:paraId="6A8F0FD1"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0D5EB71F" w14:textId="78A9F4D1" w:rsidR="002558B3" w:rsidRPr="00CC00D4" w:rsidRDefault="002558B3" w:rsidP="00AB649D">
      <w:pPr>
        <w:pStyle w:val="Titolo3"/>
      </w:pPr>
      <w:bookmarkStart w:id="52" w:name="__RefHeading__4376_1479815270"/>
      <w:bookmarkStart w:id="53" w:name="_Toc92386454"/>
      <w:bookmarkStart w:id="54" w:name="_Toc124266220"/>
      <w:r w:rsidRPr="00CC00D4">
        <w:t>1.</w:t>
      </w:r>
      <w:r w:rsidR="00D96F46" w:rsidRPr="00CC00D4">
        <w:t>9</w:t>
      </w:r>
      <w:r w:rsidRPr="00CC00D4">
        <w:t>.1 Contratto</w:t>
      </w:r>
      <w:bookmarkEnd w:id="52"/>
      <w:bookmarkEnd w:id="53"/>
      <w:bookmarkEnd w:id="54"/>
    </w:p>
    <w:p w14:paraId="05A3CCD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Ai sensi dell’articolo 3 della Legge numero 81 il contratto tra il committente ed il lavoratore può essere concluso con libertà di forma. Tuttavia, si considera “</w:t>
      </w:r>
      <w:r w:rsidRPr="00CC00D4">
        <w:rPr>
          <w:rFonts w:ascii="Tahoma" w:hAnsi="Tahoma" w:cs="Tahoma"/>
          <w:bCs/>
          <w:i/>
          <w:iCs/>
          <w:kern w:val="0"/>
          <w:sz w:val="20"/>
          <w:szCs w:val="20"/>
        </w:rPr>
        <w:t>abusivo il rifiuto del committente di stipulare il contratto in forma scritta</w:t>
      </w:r>
      <w:r w:rsidRPr="00CC00D4">
        <w:rPr>
          <w:rFonts w:ascii="Tahoma" w:hAnsi="Tahoma" w:cs="Tahoma"/>
          <w:bCs/>
          <w:kern w:val="0"/>
          <w:sz w:val="20"/>
          <w:szCs w:val="20"/>
        </w:rPr>
        <w:t>” a fronte di una richiesta del lavoratore.</w:t>
      </w:r>
    </w:p>
    <w:p w14:paraId="77F6573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Si considerano inoltre “</w:t>
      </w:r>
      <w:r w:rsidRPr="00CC00D4">
        <w:rPr>
          <w:rFonts w:ascii="Tahoma" w:hAnsi="Tahoma" w:cs="Tahoma"/>
          <w:bCs/>
          <w:i/>
          <w:iCs/>
          <w:kern w:val="0"/>
          <w:sz w:val="20"/>
          <w:szCs w:val="20"/>
        </w:rPr>
        <w:t>abusive e prive di effetto le clausole</w:t>
      </w:r>
      <w:r w:rsidRPr="00CC00D4">
        <w:rPr>
          <w:rFonts w:ascii="Tahoma" w:hAnsi="Tahoma" w:cs="Tahoma"/>
          <w:bCs/>
          <w:kern w:val="0"/>
          <w:sz w:val="20"/>
          <w:szCs w:val="20"/>
        </w:rPr>
        <w:t>” che:</w:t>
      </w:r>
    </w:p>
    <w:p w14:paraId="407D4754" w14:textId="77777777" w:rsidR="002558B3" w:rsidRPr="00CC00D4" w:rsidRDefault="002558B3">
      <w:pPr>
        <w:pStyle w:val="Paragrafoelenco"/>
        <w:numPr>
          <w:ilvl w:val="0"/>
          <w:numId w:val="64"/>
        </w:numPr>
        <w:autoSpaceDN w:val="0"/>
        <w:ind w:left="709" w:hanging="357"/>
        <w:contextualSpacing/>
        <w:textAlignment w:val="baseline"/>
        <w:rPr>
          <w:rFonts w:cs="Tahoma"/>
          <w:szCs w:val="20"/>
        </w:rPr>
      </w:pPr>
      <w:r w:rsidRPr="00CC00D4">
        <w:rPr>
          <w:rFonts w:cs="Tahoma"/>
          <w:bCs/>
          <w:szCs w:val="20"/>
        </w:rPr>
        <w:t>Attribuiscono al committente la facoltà di modificare unilateralmente le condizioni del contratto;</w:t>
      </w:r>
    </w:p>
    <w:p w14:paraId="212633B7" w14:textId="77777777" w:rsidR="002558B3" w:rsidRPr="00CC00D4" w:rsidRDefault="002558B3">
      <w:pPr>
        <w:pStyle w:val="Paragrafoelenco"/>
        <w:numPr>
          <w:ilvl w:val="0"/>
          <w:numId w:val="64"/>
        </w:numPr>
        <w:autoSpaceDN w:val="0"/>
        <w:ind w:left="709" w:hanging="357"/>
        <w:contextualSpacing/>
        <w:textAlignment w:val="baseline"/>
        <w:rPr>
          <w:rFonts w:cs="Tahoma"/>
          <w:szCs w:val="20"/>
        </w:rPr>
      </w:pPr>
      <w:r w:rsidRPr="00CC00D4">
        <w:rPr>
          <w:rFonts w:cs="Tahoma"/>
          <w:bCs/>
          <w:szCs w:val="20"/>
        </w:rPr>
        <w:t>In caso di contratto avente ad oggetto una prestazione continuativa assegnano al committente la facoltà di recedere senza congruo preavviso;</w:t>
      </w:r>
    </w:p>
    <w:p w14:paraId="519AB0EC" w14:textId="77777777" w:rsidR="002558B3" w:rsidRPr="00CC00D4" w:rsidRDefault="002558B3">
      <w:pPr>
        <w:pStyle w:val="Paragrafoelenco"/>
        <w:numPr>
          <w:ilvl w:val="0"/>
          <w:numId w:val="64"/>
        </w:numPr>
        <w:autoSpaceDN w:val="0"/>
        <w:ind w:left="709"/>
        <w:textAlignment w:val="baseline"/>
        <w:rPr>
          <w:rFonts w:cs="Tahoma"/>
          <w:szCs w:val="20"/>
        </w:rPr>
      </w:pPr>
      <w:r w:rsidRPr="00CC00D4">
        <w:rPr>
          <w:rFonts w:cs="Tahoma"/>
          <w:bCs/>
          <w:szCs w:val="20"/>
        </w:rPr>
        <w:t>Concordano termini di pagamento superiori a 60 giorni.</w:t>
      </w:r>
    </w:p>
    <w:p w14:paraId="3682257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fronte di clausole abusive o di rifiuto del committente di stipulare il contratto per iscritto, il lavoratore ha diritto al risarcimento dei danni “</w:t>
      </w:r>
      <w:r w:rsidRPr="00CC00D4">
        <w:rPr>
          <w:rFonts w:ascii="Tahoma" w:hAnsi="Tahoma" w:cs="Tahoma"/>
          <w:bCs/>
          <w:i/>
          <w:iCs/>
          <w:kern w:val="0"/>
          <w:sz w:val="20"/>
          <w:szCs w:val="20"/>
        </w:rPr>
        <w:t>anche promuovendo un tentativo di conciliazione mediante gli organismi abilitati</w:t>
      </w:r>
      <w:r w:rsidRPr="00CC00D4">
        <w:rPr>
          <w:rFonts w:ascii="Tahoma" w:hAnsi="Tahoma" w:cs="Tahoma"/>
          <w:bCs/>
          <w:kern w:val="0"/>
          <w:sz w:val="20"/>
          <w:szCs w:val="20"/>
        </w:rPr>
        <w:t>”.</w:t>
      </w:r>
    </w:p>
    <w:p w14:paraId="39E487B2"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bookmarkStart w:id="55" w:name="_Toc92386455"/>
    </w:p>
    <w:p w14:paraId="0F36915B" w14:textId="17815F95" w:rsidR="002558B3" w:rsidRPr="00CC00D4" w:rsidRDefault="002558B3" w:rsidP="00AB649D">
      <w:pPr>
        <w:pStyle w:val="Titolo3"/>
      </w:pPr>
      <w:bookmarkStart w:id="56" w:name="__RefHeading__4378_1479815270"/>
      <w:bookmarkStart w:id="57" w:name="_Toc124266221"/>
      <w:r w:rsidRPr="00CC00D4">
        <w:lastRenderedPageBreak/>
        <w:t>1.</w:t>
      </w:r>
      <w:r w:rsidR="00D96F46" w:rsidRPr="00CC00D4">
        <w:t>9</w:t>
      </w:r>
      <w:r w:rsidRPr="00CC00D4">
        <w:t>.2 Pagamento del compenso</w:t>
      </w:r>
      <w:bookmarkEnd w:id="55"/>
      <w:bookmarkEnd w:id="56"/>
      <w:bookmarkEnd w:id="57"/>
    </w:p>
    <w:p w14:paraId="3B7313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pagamento del compenso (articolo 2) non può avvenire con un termine superiore a 60 giorni dalla data di ricevimento della fattura o della richiesta di pagamento.</w:t>
      </w:r>
    </w:p>
    <w:p w14:paraId="48CB346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fronte di una clausola che preveda un termine eccedente i 60 giorni, la stessa è considerata abusiva e priva di effetto.</w:t>
      </w:r>
    </w:p>
    <w:p w14:paraId="36A53AB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caso in cui le parti:</w:t>
      </w:r>
    </w:p>
    <w:p w14:paraId="7BCA5146" w14:textId="77777777" w:rsidR="002558B3" w:rsidRPr="00CC00D4" w:rsidRDefault="002558B3">
      <w:pPr>
        <w:pStyle w:val="Paragrafoelenco"/>
        <w:numPr>
          <w:ilvl w:val="0"/>
          <w:numId w:val="67"/>
        </w:numPr>
        <w:autoSpaceDN w:val="0"/>
        <w:ind w:left="709" w:hanging="357"/>
        <w:contextualSpacing/>
        <w:textAlignment w:val="baseline"/>
        <w:rPr>
          <w:rFonts w:cs="Tahoma"/>
          <w:szCs w:val="20"/>
        </w:rPr>
      </w:pPr>
      <w:r w:rsidRPr="00CC00D4">
        <w:rPr>
          <w:rFonts w:cs="Tahoma"/>
          <w:bCs/>
          <w:szCs w:val="20"/>
        </w:rPr>
        <w:t>Non abbiano concordato alcun termine;</w:t>
      </w:r>
    </w:p>
    <w:p w14:paraId="1B9CDF9F" w14:textId="77777777" w:rsidR="002558B3" w:rsidRPr="00CC00D4" w:rsidRDefault="002558B3">
      <w:pPr>
        <w:pStyle w:val="Paragrafoelenco"/>
        <w:numPr>
          <w:ilvl w:val="0"/>
          <w:numId w:val="67"/>
        </w:numPr>
        <w:autoSpaceDN w:val="0"/>
        <w:ind w:left="709"/>
        <w:textAlignment w:val="baseline"/>
        <w:rPr>
          <w:rFonts w:cs="Tahoma"/>
          <w:szCs w:val="20"/>
        </w:rPr>
      </w:pPr>
      <w:r w:rsidRPr="00CC00D4">
        <w:rPr>
          <w:rFonts w:cs="Tahoma"/>
          <w:bCs/>
          <w:szCs w:val="20"/>
        </w:rPr>
        <w:t>In alternativa non rispettino il termine previsto;</w:t>
      </w:r>
    </w:p>
    <w:p w14:paraId="6C3B8D8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 applicata una scadenza di 30 giorni entro la quale il committente è tenuto a corrispondere il compenso. Trascorsi i 30 giorni decorrono gli interessi moratori, senza necessità di procedere alla costituzione in mora.</w:t>
      </w:r>
    </w:p>
    <w:p w14:paraId="43B1922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termine in questione decorre da:</w:t>
      </w:r>
    </w:p>
    <w:p w14:paraId="0E40531C" w14:textId="77777777" w:rsidR="002558B3" w:rsidRPr="00CC00D4" w:rsidRDefault="002558B3">
      <w:pPr>
        <w:pStyle w:val="Paragrafoelenco"/>
        <w:numPr>
          <w:ilvl w:val="0"/>
          <w:numId w:val="66"/>
        </w:numPr>
        <w:autoSpaceDN w:val="0"/>
        <w:ind w:left="709" w:hanging="357"/>
        <w:contextualSpacing/>
        <w:textAlignment w:val="baseline"/>
        <w:rPr>
          <w:rFonts w:cs="Tahoma"/>
          <w:szCs w:val="20"/>
        </w:rPr>
      </w:pPr>
      <w:r w:rsidRPr="00CC00D4">
        <w:rPr>
          <w:rFonts w:cs="Tahoma"/>
          <w:bCs/>
          <w:szCs w:val="20"/>
        </w:rPr>
        <w:t>Data di ricevimento della fattura o richiesta di pagamento;</w:t>
      </w:r>
    </w:p>
    <w:p w14:paraId="54C11F74" w14:textId="77777777" w:rsidR="002558B3" w:rsidRPr="00CC00D4" w:rsidRDefault="002558B3">
      <w:pPr>
        <w:pStyle w:val="Paragrafoelenco"/>
        <w:numPr>
          <w:ilvl w:val="0"/>
          <w:numId w:val="66"/>
        </w:numPr>
        <w:autoSpaceDN w:val="0"/>
        <w:ind w:left="709" w:hanging="357"/>
        <w:contextualSpacing/>
        <w:textAlignment w:val="baseline"/>
        <w:rPr>
          <w:rFonts w:cs="Tahoma"/>
          <w:szCs w:val="20"/>
        </w:rPr>
      </w:pPr>
      <w:r w:rsidRPr="00CC00D4">
        <w:rPr>
          <w:rFonts w:cs="Tahoma"/>
          <w:bCs/>
          <w:szCs w:val="20"/>
        </w:rPr>
        <w:t>Data di prestazione dei servizi, nel caso in cui non sia certa la data di ricevimento della fattura o della richiesta di pagamento;</w:t>
      </w:r>
    </w:p>
    <w:p w14:paraId="0FE08D85" w14:textId="77777777" w:rsidR="002558B3" w:rsidRPr="00CC00D4" w:rsidRDefault="002558B3">
      <w:pPr>
        <w:pStyle w:val="Paragrafoelenco"/>
        <w:numPr>
          <w:ilvl w:val="0"/>
          <w:numId w:val="66"/>
        </w:numPr>
        <w:autoSpaceDN w:val="0"/>
        <w:ind w:left="709" w:hanging="357"/>
        <w:contextualSpacing/>
        <w:textAlignment w:val="baseline"/>
        <w:rPr>
          <w:rFonts w:cs="Tahoma"/>
          <w:szCs w:val="20"/>
        </w:rPr>
      </w:pPr>
      <w:r w:rsidRPr="00CC00D4">
        <w:rPr>
          <w:rFonts w:cs="Tahoma"/>
          <w:bCs/>
          <w:szCs w:val="20"/>
        </w:rPr>
        <w:t>Data di prestazione dei servizi, se la data di ricevimento della fattura o della richiesta di pagamento è anteriore;</w:t>
      </w:r>
    </w:p>
    <w:p w14:paraId="34A1DBC4" w14:textId="77777777" w:rsidR="002558B3" w:rsidRPr="00CC00D4" w:rsidRDefault="002558B3">
      <w:pPr>
        <w:pStyle w:val="Paragrafoelenco"/>
        <w:numPr>
          <w:ilvl w:val="0"/>
          <w:numId w:val="66"/>
        </w:numPr>
        <w:autoSpaceDN w:val="0"/>
        <w:ind w:left="709"/>
        <w:textAlignment w:val="baseline"/>
        <w:rPr>
          <w:rFonts w:cs="Tahoma"/>
          <w:szCs w:val="20"/>
        </w:rPr>
      </w:pPr>
      <w:r w:rsidRPr="00CC00D4">
        <w:rPr>
          <w:rFonts w:cs="Tahoma"/>
          <w:bCs/>
          <w:szCs w:val="20"/>
        </w:rPr>
        <w:t>Data di accettazione o della verifica eventualmente previste dalla legge o dal contratto ai fini dell’accertamento della conformità dei servizi alle previsioni contrattuali, se il ricevimento della fattura o della richiesta equivalente avviene entro tale data.</w:t>
      </w:r>
    </w:p>
    <w:p w14:paraId="4078CDBD"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757995D6" w14:textId="02CE8FF4" w:rsidR="002558B3" w:rsidRPr="00CC00D4" w:rsidRDefault="002558B3" w:rsidP="00AB649D">
      <w:pPr>
        <w:pStyle w:val="Titolo3"/>
        <w:rPr>
          <w:u w:val="none"/>
        </w:rPr>
      </w:pPr>
      <w:bookmarkStart w:id="58" w:name="__RefHeading__4380_1479815270"/>
      <w:bookmarkStart w:id="59" w:name="_Toc92386456"/>
      <w:bookmarkStart w:id="60" w:name="_Toc124266222"/>
      <w:r w:rsidRPr="00CC00D4">
        <w:t>1.</w:t>
      </w:r>
      <w:r w:rsidR="00D96F46" w:rsidRPr="00CC00D4">
        <w:t>9</w:t>
      </w:r>
      <w:r w:rsidRPr="00CC00D4">
        <w:t>.3 Invenzioni del lavoratore</w:t>
      </w:r>
      <w:bookmarkEnd w:id="58"/>
      <w:bookmarkEnd w:id="59"/>
      <w:bookmarkEnd w:id="60"/>
    </w:p>
    <w:p w14:paraId="54762C3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Salvo il caso in cui (articolo 4) l’attività inventiva sia prevista come oggetto del contratto “</w:t>
      </w:r>
      <w:r w:rsidRPr="00CC00D4">
        <w:rPr>
          <w:rFonts w:ascii="Tahoma" w:hAnsi="Tahoma" w:cs="Tahoma"/>
          <w:bCs/>
          <w:i/>
          <w:iCs/>
          <w:kern w:val="0"/>
          <w:sz w:val="20"/>
          <w:szCs w:val="20"/>
        </w:rPr>
        <w:t>e a tale scopo compensata</w:t>
      </w:r>
      <w:r w:rsidRPr="00CC00D4">
        <w:rPr>
          <w:rFonts w:ascii="Tahoma" w:hAnsi="Tahoma" w:cs="Tahoma"/>
          <w:bCs/>
          <w:kern w:val="0"/>
          <w:sz w:val="20"/>
          <w:szCs w:val="20"/>
        </w:rPr>
        <w:t>” i diritti di utilizzazione economica relativi “</w:t>
      </w:r>
      <w:r w:rsidRPr="00CC00D4">
        <w:rPr>
          <w:rFonts w:ascii="Tahoma" w:hAnsi="Tahoma" w:cs="Tahoma"/>
          <w:bCs/>
          <w:i/>
          <w:iCs/>
          <w:kern w:val="0"/>
          <w:sz w:val="20"/>
          <w:szCs w:val="20"/>
        </w:rPr>
        <w:t>ad apporti originali e a invenzioni realizzati nell’esecuzione del contratto stesso spettano al lavoro autonomo</w:t>
      </w:r>
      <w:r w:rsidRPr="00CC00D4">
        <w:rPr>
          <w:rFonts w:ascii="Tahoma" w:hAnsi="Tahoma" w:cs="Tahoma"/>
          <w:bCs/>
          <w:kern w:val="0"/>
          <w:sz w:val="20"/>
          <w:szCs w:val="20"/>
        </w:rPr>
        <w:t>”.</w:t>
      </w:r>
    </w:p>
    <w:p w14:paraId="548A8B4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Nella nozione di apporto originale rientrano le creazioni aventi carattere di novità che, anche se non ricomprese nell’oggetto dell’attività del lavoratore, restano soggette a sfruttamento commerciale da parte dello stesso.</w:t>
      </w:r>
    </w:p>
    <w:p w14:paraId="620EDC97"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3287DBFD" w14:textId="77777777" w:rsidR="00E74A8D" w:rsidRPr="00CC00D4" w:rsidRDefault="00E74A8D">
      <w:pPr>
        <w:suppressAutoHyphens w:val="0"/>
        <w:spacing w:after="0" w:line="240" w:lineRule="auto"/>
        <w:jc w:val="left"/>
        <w:rPr>
          <w:rFonts w:cs="Tahoma"/>
          <w:bCs/>
          <w:i/>
          <w:color w:val="000000"/>
          <w:sz w:val="22"/>
          <w:u w:val="single"/>
        </w:rPr>
      </w:pPr>
      <w:bookmarkStart w:id="61" w:name="__RefHeading__4382_1479815270"/>
      <w:bookmarkStart w:id="62" w:name="_Toc92386457"/>
      <w:r w:rsidRPr="00CC00D4">
        <w:br w:type="page"/>
      </w:r>
    </w:p>
    <w:p w14:paraId="6F3181F7" w14:textId="5D092C19" w:rsidR="002558B3" w:rsidRPr="00CC00D4" w:rsidRDefault="002558B3" w:rsidP="00AB649D">
      <w:pPr>
        <w:pStyle w:val="Titolo3"/>
      </w:pPr>
      <w:bookmarkStart w:id="63" w:name="_Toc124266223"/>
      <w:r w:rsidRPr="00CC00D4">
        <w:lastRenderedPageBreak/>
        <w:t>1.</w:t>
      </w:r>
      <w:r w:rsidR="00D96F46" w:rsidRPr="00CC00D4">
        <w:t>9</w:t>
      </w:r>
      <w:r w:rsidRPr="00CC00D4">
        <w:t>.4 Eventi di gravidanza, malattia e infortunio</w:t>
      </w:r>
      <w:bookmarkEnd w:id="61"/>
      <w:bookmarkEnd w:id="62"/>
      <w:bookmarkEnd w:id="63"/>
    </w:p>
    <w:p w14:paraId="5953DD4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Gli eventi di gravidanza, malattia e infortunio dei “</w:t>
      </w:r>
      <w:r w:rsidRPr="00CC00D4">
        <w:rPr>
          <w:rFonts w:ascii="Tahoma" w:hAnsi="Tahoma" w:cs="Tahoma"/>
          <w:bCs/>
          <w:i/>
          <w:iCs/>
          <w:kern w:val="0"/>
          <w:sz w:val="20"/>
          <w:szCs w:val="20"/>
        </w:rPr>
        <w:t>lavoratori autonomi che prestano la loro attività in via continuativa per il committente non comportano l’estinzione del rapporto di lavoro</w:t>
      </w:r>
      <w:r w:rsidRPr="00CC00D4">
        <w:rPr>
          <w:rFonts w:ascii="Tahoma" w:hAnsi="Tahoma" w:cs="Tahoma"/>
          <w:bCs/>
          <w:kern w:val="0"/>
          <w:sz w:val="20"/>
          <w:szCs w:val="20"/>
        </w:rPr>
        <w:t>” (articolo 14).</w:t>
      </w:r>
    </w:p>
    <w:p w14:paraId="015C28F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Su richiesta dell’interessato è possibile chiedere la sospensione del contratto “</w:t>
      </w:r>
      <w:r w:rsidRPr="00CC00D4">
        <w:rPr>
          <w:rFonts w:ascii="Tahoma" w:hAnsi="Tahoma" w:cs="Tahoma"/>
          <w:bCs/>
          <w:i/>
          <w:iCs/>
          <w:kern w:val="0"/>
          <w:sz w:val="20"/>
          <w:szCs w:val="20"/>
        </w:rPr>
        <w:t>senza diritto al corrispettivo, per un periodo non superiore a centocinquanta giorni per anno solare, fatto salvo il venir meno dell’interesse del committente</w:t>
      </w:r>
      <w:r w:rsidRPr="00CC00D4">
        <w:rPr>
          <w:rFonts w:ascii="Tahoma" w:hAnsi="Tahoma" w:cs="Tahoma"/>
          <w:bCs/>
          <w:kern w:val="0"/>
          <w:sz w:val="20"/>
          <w:szCs w:val="20"/>
        </w:rPr>
        <w:t>”.</w:t>
      </w:r>
    </w:p>
    <w:p w14:paraId="479D16A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maternità è prevista (articolo 14 comma 2), previo consenso del committente, la possibilità di sostituzione delle lavoratrici autonome “</w:t>
      </w:r>
      <w:r w:rsidRPr="00CC00D4">
        <w:rPr>
          <w:rFonts w:ascii="Tahoma" w:hAnsi="Tahoma" w:cs="Tahoma"/>
          <w:bCs/>
          <w:i/>
          <w:iCs/>
          <w:kern w:val="0"/>
          <w:sz w:val="20"/>
          <w:szCs w:val="20"/>
        </w:rPr>
        <w:t>da parte di altri lavoratori autonomi di fiducia delle lavoratrici stesse, in possesso dei necessari requisiti professionali, nonché dei soci, anche attraverso il riconoscimento di forme di compresenza della lavoratrice e del suo sostituto</w:t>
      </w:r>
      <w:r w:rsidRPr="00CC00D4">
        <w:rPr>
          <w:rFonts w:ascii="Tahoma" w:hAnsi="Tahoma" w:cs="Tahoma"/>
          <w:bCs/>
          <w:kern w:val="0"/>
          <w:sz w:val="20"/>
          <w:szCs w:val="20"/>
        </w:rPr>
        <w:t>”.</w:t>
      </w:r>
    </w:p>
    <w:p w14:paraId="7079D21D"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w:t>
      </w:r>
      <w:r w:rsidR="002558B3" w:rsidRPr="00CC00D4">
        <w:rPr>
          <w:rFonts w:ascii="Tahoma" w:hAnsi="Tahoma" w:cs="Tahoma"/>
          <w:bCs/>
          <w:kern w:val="0"/>
          <w:sz w:val="20"/>
          <w:szCs w:val="20"/>
        </w:rPr>
        <w:t xml:space="preserve"> altresì </w:t>
      </w:r>
      <w:r w:rsidR="00F32F1F" w:rsidRPr="00CC00D4">
        <w:rPr>
          <w:rFonts w:ascii="Tahoma" w:hAnsi="Tahoma" w:cs="Tahoma"/>
          <w:bCs/>
          <w:kern w:val="0"/>
          <w:sz w:val="20"/>
          <w:szCs w:val="20"/>
        </w:rPr>
        <w:t>riconosciuta</w:t>
      </w:r>
      <w:r w:rsidR="002558B3" w:rsidRPr="00CC00D4">
        <w:rPr>
          <w:rFonts w:ascii="Tahoma" w:hAnsi="Tahoma" w:cs="Tahoma"/>
          <w:bCs/>
          <w:kern w:val="0"/>
          <w:sz w:val="20"/>
          <w:szCs w:val="20"/>
        </w:rPr>
        <w:t xml:space="preserve"> (articolo 14 comma 3) in caso di malattia o infortunio di gravità “</w:t>
      </w:r>
      <w:r w:rsidR="002558B3" w:rsidRPr="00CC00D4">
        <w:rPr>
          <w:rFonts w:ascii="Tahoma" w:hAnsi="Tahoma" w:cs="Tahoma"/>
          <w:bCs/>
          <w:i/>
          <w:iCs/>
          <w:kern w:val="0"/>
          <w:sz w:val="20"/>
          <w:szCs w:val="20"/>
        </w:rPr>
        <w:t>tale da impedire lo svolgimento dell’attività lavorativa oltre sessanta giorni</w:t>
      </w:r>
      <w:r w:rsidR="002558B3" w:rsidRPr="00CC00D4">
        <w:rPr>
          <w:rFonts w:ascii="Tahoma" w:hAnsi="Tahoma" w:cs="Tahoma"/>
          <w:bCs/>
          <w:kern w:val="0"/>
          <w:sz w:val="20"/>
          <w:szCs w:val="20"/>
        </w:rPr>
        <w:t>” la sospensione del versamento dei “</w:t>
      </w:r>
      <w:r w:rsidR="002558B3" w:rsidRPr="00CC00D4">
        <w:rPr>
          <w:rFonts w:ascii="Tahoma" w:hAnsi="Tahoma" w:cs="Tahoma"/>
          <w:bCs/>
          <w:i/>
          <w:iCs/>
          <w:kern w:val="0"/>
          <w:sz w:val="20"/>
          <w:szCs w:val="20"/>
        </w:rPr>
        <w:t>contributi previdenziali e dei premi assicurativi</w:t>
      </w:r>
      <w:r w:rsidR="002558B3" w:rsidRPr="00CC00D4">
        <w:rPr>
          <w:rFonts w:ascii="Tahoma" w:hAnsi="Tahoma" w:cs="Tahoma"/>
          <w:bCs/>
          <w:kern w:val="0"/>
          <w:sz w:val="20"/>
          <w:szCs w:val="20"/>
        </w:rPr>
        <w:t>” per l’intera durata dell’evento fino ad un massimo di due anni.</w:t>
      </w:r>
    </w:p>
    <w:p w14:paraId="0C7E8D9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Decorso il periodo sopra citato il lavoratore “</w:t>
      </w:r>
      <w:r w:rsidRPr="00CC00D4">
        <w:rPr>
          <w:rFonts w:ascii="Tahoma" w:hAnsi="Tahoma" w:cs="Tahoma"/>
          <w:bCs/>
          <w:i/>
          <w:iCs/>
          <w:kern w:val="0"/>
          <w:sz w:val="20"/>
          <w:szCs w:val="20"/>
        </w:rPr>
        <w:t>è tenuto a versare i contributi e i premi maturati durante il periodo di sospensione in un numero di rate mensili pari a tre volte i mesi di sospensione</w:t>
      </w:r>
      <w:r w:rsidRPr="00CC00D4">
        <w:rPr>
          <w:rFonts w:ascii="Tahoma" w:hAnsi="Tahoma" w:cs="Tahoma"/>
          <w:bCs/>
          <w:kern w:val="0"/>
          <w:sz w:val="20"/>
          <w:szCs w:val="20"/>
        </w:rPr>
        <w:t>”.</w:t>
      </w:r>
    </w:p>
    <w:p w14:paraId="6E0B62E0" w14:textId="77777777" w:rsidR="002558B3" w:rsidRPr="00CC00D4" w:rsidRDefault="002558B3" w:rsidP="002558B3">
      <w:pPr>
        <w:pStyle w:val="Standard"/>
        <w:spacing w:after="200" w:line="360" w:lineRule="auto"/>
        <w:jc w:val="both"/>
        <w:rPr>
          <w:rFonts w:ascii="Tahoma" w:hAnsi="Tahoma" w:cs="Tahoma"/>
          <w:b/>
          <w:i/>
          <w:kern w:val="0"/>
          <w:sz w:val="20"/>
          <w:szCs w:val="20"/>
        </w:rPr>
      </w:pPr>
    </w:p>
    <w:p w14:paraId="45DD16F9" w14:textId="77777777" w:rsidR="000503FE" w:rsidRPr="00CC00D4" w:rsidRDefault="000503FE" w:rsidP="00BA638F">
      <w:pPr>
        <w:pStyle w:val="Titolo1"/>
        <w:sectPr w:rsidR="000503FE" w:rsidRPr="00CC00D4">
          <w:pgSz w:w="11906" w:h="16838"/>
          <w:pgMar w:top="776" w:right="1134" w:bottom="777" w:left="1134" w:header="720" w:footer="720" w:gutter="0"/>
          <w:cols w:space="720"/>
          <w:titlePg/>
          <w:docGrid w:linePitch="272"/>
        </w:sectPr>
      </w:pPr>
      <w:bookmarkStart w:id="64" w:name="__RefHeading__4384_1479815270"/>
      <w:bookmarkStart w:id="65" w:name="_Toc92386458"/>
    </w:p>
    <w:p w14:paraId="4DC72200" w14:textId="77777777" w:rsidR="000503FE" w:rsidRPr="00CC00D4" w:rsidRDefault="002558B3" w:rsidP="00BA638F">
      <w:pPr>
        <w:pStyle w:val="Titolo1"/>
      </w:pPr>
      <w:bookmarkStart w:id="66" w:name="_Toc124266224"/>
      <w:r w:rsidRPr="00CC00D4">
        <w:lastRenderedPageBreak/>
        <w:t>2.</w:t>
      </w:r>
      <w:bookmarkEnd w:id="66"/>
    </w:p>
    <w:bookmarkStart w:id="67" w:name="_Toc124266225"/>
    <w:p w14:paraId="6B704824" w14:textId="00E011EA" w:rsidR="002558B3" w:rsidRPr="00CC00D4" w:rsidRDefault="00985370" w:rsidP="00BA638F">
      <w:pPr>
        <w:pStyle w:val="Titolo1"/>
      </w:pPr>
      <w:r w:rsidRPr="00CC00D4">
        <w:rPr>
          <w:noProof/>
          <w:lang w:eastAsia="it-IT"/>
        </w:rPr>
        <mc:AlternateContent>
          <mc:Choice Requires="wps">
            <w:drawing>
              <wp:anchor distT="0" distB="0" distL="114300" distR="114300" simplePos="0" relativeHeight="251660288" behindDoc="0" locked="0" layoutInCell="1" allowOverlap="1" wp14:anchorId="59C464EF" wp14:editId="5E6115E4">
                <wp:simplePos x="0" y="0"/>
                <wp:positionH relativeFrom="column">
                  <wp:posOffset>1807845</wp:posOffset>
                </wp:positionH>
                <wp:positionV relativeFrom="paragraph">
                  <wp:posOffset>92710</wp:posOffset>
                </wp:positionV>
                <wp:extent cx="2443480" cy="6350"/>
                <wp:effectExtent l="13335" t="13335" r="10160" b="18415"/>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02C5B8" id="AutoShape 120" o:spid="_x0000_s1026" type="#_x0000_t32" style="position:absolute;margin-left:142.35pt;margin-top:7.3pt;width:192.4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" strokecolor="#404040" strokeweight=".53mm">
                <v:stroke joinstyle="miter" endcap="square"/>
              </v:shape>
            </w:pict>
          </mc:Fallback>
        </mc:AlternateContent>
      </w:r>
      <w:r w:rsidR="002558B3" w:rsidRPr="00CC00D4">
        <w:t>Gli obblighi di comunicazione previsti dal Decreto “Fiscale”</w:t>
      </w:r>
      <w:bookmarkEnd w:id="64"/>
      <w:bookmarkEnd w:id="65"/>
      <w:bookmarkEnd w:id="67"/>
    </w:p>
    <w:p w14:paraId="4D8C8DBB" w14:textId="77777777" w:rsidR="000503FE" w:rsidRPr="00CC00D4" w:rsidRDefault="000503FE" w:rsidP="000503FE"/>
    <w:p w14:paraId="24261421" w14:textId="77777777" w:rsidR="000503FE" w:rsidRPr="00CC00D4" w:rsidRDefault="000503FE" w:rsidP="000503FE"/>
    <w:p w14:paraId="63DEFD9E" w14:textId="77777777" w:rsidR="000503FE" w:rsidRPr="00CC00D4" w:rsidRDefault="000503FE" w:rsidP="000503FE"/>
    <w:p w14:paraId="7CB4891C" w14:textId="77777777" w:rsidR="000503FE" w:rsidRPr="00CC00D4" w:rsidRDefault="000503FE" w:rsidP="000503FE"/>
    <w:p w14:paraId="34FCFAE6" w14:textId="77777777" w:rsidR="000503FE" w:rsidRPr="00CC00D4" w:rsidRDefault="000503FE" w:rsidP="000503FE"/>
    <w:p w14:paraId="6832099E" w14:textId="77777777" w:rsidR="000503FE" w:rsidRPr="00CC00D4" w:rsidRDefault="000503FE" w:rsidP="000503FE"/>
    <w:p w14:paraId="62A7D7D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L’articolo 13 del Decreto legge 21 ottobre 2021 numero 146 (convertito con modificazioni in </w:t>
      </w:r>
      <w:hyperlink r:id="rId24" w:history="1">
        <w:r w:rsidRPr="00CC00D4">
          <w:rPr>
            <w:rStyle w:val="Collegamentoipertestuale"/>
            <w:rFonts w:ascii="Tahoma" w:hAnsi="Tahoma" w:cs="Tahoma"/>
            <w:bCs/>
            <w:kern w:val="0"/>
            <w:sz w:val="20"/>
            <w:szCs w:val="20"/>
          </w:rPr>
          <w:t>Legge 17 dicembre 2021 numero 215</w:t>
        </w:r>
      </w:hyperlink>
      <w:r w:rsidRPr="00CC00D4">
        <w:rPr>
          <w:rFonts w:ascii="Tahoma" w:hAnsi="Tahoma" w:cs="Tahoma"/>
          <w:bCs/>
          <w:kern w:val="0"/>
          <w:sz w:val="20"/>
          <w:szCs w:val="20"/>
        </w:rPr>
        <w:t>), cosiddetto Decreto “Fiscale”, modifica l’articolo 14 del Decreto legislativo 9 aprile 2008 numero 81 contenente norme “</w:t>
      </w:r>
      <w:r w:rsidRPr="00CC00D4">
        <w:rPr>
          <w:rFonts w:ascii="Tahoma" w:hAnsi="Tahoma" w:cs="Tahoma"/>
          <w:bCs/>
          <w:i/>
          <w:kern w:val="0"/>
          <w:sz w:val="20"/>
          <w:szCs w:val="20"/>
        </w:rPr>
        <w:t>in materia di tutela della salute e della sicurezza nei luoghi di lavoro</w:t>
      </w:r>
      <w:r w:rsidRPr="00CC00D4">
        <w:rPr>
          <w:rFonts w:ascii="Tahoma" w:hAnsi="Tahoma" w:cs="Tahoma"/>
          <w:bCs/>
          <w:kern w:val="0"/>
          <w:sz w:val="20"/>
          <w:szCs w:val="20"/>
        </w:rPr>
        <w:t>”.</w:t>
      </w:r>
    </w:p>
    <w:p w14:paraId="5C109DC9" w14:textId="72DBE42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novità, introdotta in sede di conversione in legge del Decreto, prevede “</w:t>
      </w:r>
      <w:r w:rsidRPr="00CC00D4">
        <w:rPr>
          <w:rFonts w:ascii="Tahoma" w:hAnsi="Tahoma" w:cs="Tahoma"/>
          <w:bCs/>
          <w:i/>
          <w:kern w:val="0"/>
          <w:sz w:val="20"/>
          <w:szCs w:val="20"/>
        </w:rPr>
        <w:t>al fine di svolgere attività di monitoraggio e di contrastare forme elusive</w:t>
      </w:r>
      <w:r w:rsidRPr="00CC00D4">
        <w:rPr>
          <w:rFonts w:ascii="Tahoma" w:hAnsi="Tahoma" w:cs="Tahoma"/>
          <w:bCs/>
          <w:kern w:val="0"/>
          <w:sz w:val="20"/>
          <w:szCs w:val="20"/>
        </w:rPr>
        <w:t>” nell’utilizzo del lavoro autonomo occasionale, l’obbligo in capo al committente</w:t>
      </w:r>
      <w:r w:rsidR="0083367E" w:rsidRPr="00CC00D4">
        <w:rPr>
          <w:rFonts w:ascii="Tahoma" w:hAnsi="Tahoma" w:cs="Tahoma"/>
          <w:bCs/>
          <w:kern w:val="0"/>
          <w:sz w:val="20"/>
          <w:szCs w:val="20"/>
        </w:rPr>
        <w:t>,</w:t>
      </w:r>
      <w:r w:rsidR="001066BE" w:rsidRPr="00CC00D4">
        <w:rPr>
          <w:rFonts w:ascii="Tahoma" w:hAnsi="Tahoma" w:cs="Tahoma"/>
          <w:bCs/>
          <w:kern w:val="0"/>
          <w:sz w:val="20"/>
          <w:szCs w:val="20"/>
        </w:rPr>
        <w:t xml:space="preserve"> </w:t>
      </w:r>
      <w:r w:rsidR="0083367E" w:rsidRPr="00CC00D4">
        <w:rPr>
          <w:rFonts w:ascii="Tahoma" w:hAnsi="Tahoma" w:cs="Tahoma"/>
          <w:bCs/>
          <w:kern w:val="0"/>
          <w:sz w:val="20"/>
          <w:szCs w:val="20"/>
        </w:rPr>
        <w:t>a far data dal 21 dicembre 2021,</w:t>
      </w:r>
      <w:r w:rsidRPr="00CC00D4">
        <w:rPr>
          <w:rFonts w:ascii="Tahoma" w:hAnsi="Tahoma" w:cs="Tahoma"/>
          <w:bCs/>
          <w:kern w:val="0"/>
          <w:sz w:val="20"/>
          <w:szCs w:val="20"/>
        </w:rPr>
        <w:t xml:space="preserve"> di segnalare “</w:t>
      </w:r>
      <w:r w:rsidRPr="00CC00D4">
        <w:rPr>
          <w:rFonts w:ascii="Tahoma" w:hAnsi="Tahoma" w:cs="Tahoma"/>
          <w:bCs/>
          <w:i/>
          <w:kern w:val="0"/>
          <w:sz w:val="20"/>
          <w:szCs w:val="20"/>
        </w:rPr>
        <w:t>l’avvio dell’attività dei suddetti lavoratori</w:t>
      </w:r>
      <w:r w:rsidRPr="00CC00D4">
        <w:rPr>
          <w:rFonts w:ascii="Tahoma" w:hAnsi="Tahoma" w:cs="Tahoma"/>
          <w:bCs/>
          <w:kern w:val="0"/>
          <w:sz w:val="20"/>
          <w:szCs w:val="20"/>
        </w:rPr>
        <w:t>” a mezzo invio di “</w:t>
      </w:r>
      <w:r w:rsidRPr="00CC00D4">
        <w:rPr>
          <w:rFonts w:ascii="Tahoma" w:hAnsi="Tahoma" w:cs="Tahoma"/>
          <w:bCs/>
          <w:i/>
          <w:kern w:val="0"/>
          <w:sz w:val="20"/>
          <w:szCs w:val="20"/>
        </w:rPr>
        <w:t>preventiva comunicazione all’Ispettorato territoriale del lavoro competente per territorio</w:t>
      </w:r>
      <w:r w:rsidRPr="00CC00D4">
        <w:rPr>
          <w:rFonts w:ascii="Tahoma" w:hAnsi="Tahoma" w:cs="Tahoma"/>
          <w:bCs/>
          <w:kern w:val="0"/>
          <w:sz w:val="20"/>
          <w:szCs w:val="20"/>
        </w:rPr>
        <w:t>”</w:t>
      </w:r>
      <w:r w:rsidR="001066BE" w:rsidRPr="00CC00D4">
        <w:rPr>
          <w:rFonts w:ascii="Tahoma" w:hAnsi="Tahoma" w:cs="Tahoma"/>
          <w:bCs/>
          <w:kern w:val="0"/>
          <w:sz w:val="20"/>
          <w:szCs w:val="20"/>
        </w:rPr>
        <w:t xml:space="preserve"> </w:t>
      </w:r>
      <w:commentRangeStart w:id="68"/>
      <w:r w:rsidR="001066BE" w:rsidRPr="00CC00D4">
        <w:rPr>
          <w:rFonts w:ascii="Tahoma" w:hAnsi="Tahoma" w:cs="Tahoma"/>
          <w:bCs/>
          <w:kern w:val="0"/>
          <w:sz w:val="20"/>
          <w:szCs w:val="20"/>
        </w:rPr>
        <w:t>(utilizzando gli indirizzi mail in calce alla nota stessa)</w:t>
      </w:r>
      <w:r w:rsidR="0083367E" w:rsidRPr="00CC00D4">
        <w:rPr>
          <w:rFonts w:ascii="Tahoma" w:hAnsi="Tahoma" w:cs="Tahoma"/>
          <w:bCs/>
          <w:kern w:val="0"/>
          <w:sz w:val="20"/>
          <w:szCs w:val="20"/>
        </w:rPr>
        <w:t xml:space="preserve"> </w:t>
      </w:r>
      <w:commentRangeEnd w:id="68"/>
      <w:r w:rsidR="002E1595" w:rsidRPr="00CC00D4">
        <w:rPr>
          <w:rStyle w:val="Rimandocommento"/>
          <w:rFonts w:ascii="Calibri" w:hAnsi="Calibri" w:cs="F"/>
          <w:color w:val="auto"/>
          <w:kern w:val="3"/>
          <w:lang w:eastAsia="it-IT" w:bidi="ar-SA"/>
        </w:rPr>
        <w:commentReference w:id="68"/>
      </w:r>
      <w:r w:rsidR="0083367E" w:rsidRPr="00CC00D4">
        <w:rPr>
          <w:rFonts w:ascii="Tahoma" w:hAnsi="Tahoma" w:cs="Tahoma"/>
          <w:bCs/>
          <w:kern w:val="0"/>
          <w:sz w:val="20"/>
          <w:szCs w:val="20"/>
        </w:rPr>
        <w:t>in ragione del luogo di svolgimento della prestazione</w:t>
      </w:r>
      <w:r w:rsidRPr="00CC00D4">
        <w:rPr>
          <w:rFonts w:ascii="Tahoma" w:hAnsi="Tahoma" w:cs="Tahoma"/>
          <w:bCs/>
          <w:kern w:val="0"/>
          <w:sz w:val="20"/>
          <w:szCs w:val="20"/>
        </w:rPr>
        <w:t>.</w:t>
      </w:r>
    </w:p>
    <w:p w14:paraId="04820ED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L’invio della comunicazione “</w:t>
      </w:r>
      <w:r w:rsidRPr="00CC00D4">
        <w:rPr>
          <w:rFonts w:ascii="Tahoma" w:hAnsi="Tahoma" w:cs="Tahoma"/>
          <w:bCs/>
          <w:i/>
          <w:kern w:val="0"/>
          <w:sz w:val="20"/>
          <w:szCs w:val="20"/>
        </w:rPr>
        <w:t>mediante SMS o posta elettronica</w:t>
      </w:r>
      <w:r w:rsidRPr="00CC00D4">
        <w:rPr>
          <w:rFonts w:ascii="Tahoma" w:hAnsi="Tahoma" w:cs="Tahoma"/>
          <w:bCs/>
          <w:kern w:val="0"/>
          <w:sz w:val="20"/>
          <w:szCs w:val="20"/>
        </w:rPr>
        <w:t>” dovrà avvenire con le modalità operative definite dall’articolo 15 comma 3 del Decreto legislativo 15 giugno 2015 numero 81, in materia di prestazioni rese dai lavoratori intermittenti.</w:t>
      </w:r>
    </w:p>
    <w:p w14:paraId="0C7F7039" w14:textId="77777777" w:rsidR="002558B3" w:rsidRPr="00CC00D4" w:rsidRDefault="002558B3" w:rsidP="0083367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La violazione degli obblighi è punita con una “</w:t>
      </w:r>
      <w:r w:rsidRPr="00CC00D4">
        <w:rPr>
          <w:rFonts w:ascii="Tahoma" w:hAnsi="Tahoma" w:cs="Tahoma"/>
          <w:bCs/>
          <w:i/>
          <w:kern w:val="0"/>
          <w:sz w:val="20"/>
          <w:szCs w:val="20"/>
        </w:rPr>
        <w:t>sanzione amministrativa da euro 500 a euro 2.500 in relazione a ciascun lavoratore autonomo occasionale per cui è stata omessa o ritardata la comunicazione</w:t>
      </w:r>
      <w:r w:rsidRPr="00CC00D4">
        <w:rPr>
          <w:rFonts w:ascii="Tahoma" w:hAnsi="Tahoma" w:cs="Tahoma"/>
          <w:bCs/>
          <w:kern w:val="0"/>
          <w:sz w:val="20"/>
          <w:szCs w:val="20"/>
        </w:rPr>
        <w:t>”. In questi casi non si “</w:t>
      </w:r>
      <w:r w:rsidRPr="00CC00D4">
        <w:rPr>
          <w:rFonts w:ascii="Tahoma" w:hAnsi="Tahoma" w:cs="Tahoma"/>
          <w:bCs/>
          <w:i/>
          <w:kern w:val="0"/>
          <w:sz w:val="20"/>
          <w:szCs w:val="20"/>
        </w:rPr>
        <w:t>applica la procedura di diffida di cui all’articolo 13 del decreto legislativo 23 aprile 2004 n. 124</w:t>
      </w:r>
      <w:r w:rsidRPr="00CC00D4">
        <w:rPr>
          <w:rFonts w:ascii="Tahoma" w:hAnsi="Tahoma" w:cs="Tahoma"/>
          <w:bCs/>
          <w:kern w:val="0"/>
          <w:sz w:val="20"/>
          <w:szCs w:val="20"/>
        </w:rPr>
        <w:t>”.</w:t>
      </w:r>
    </w:p>
    <w:p w14:paraId="1000FDB2"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Al fine di chiarire gli aspetti operativi legati all'invio della comunicazione per i lavoratori occasionali è intervenuto l'Ispettorato Territoriale del Lavoro con la </w:t>
      </w:r>
      <w:hyperlink r:id="rId25" w:history="1">
        <w:r w:rsidRPr="00CC00D4">
          <w:rPr>
            <w:rStyle w:val="Collegamentoipertestuale"/>
            <w:rFonts w:ascii="Tahoma" w:hAnsi="Tahoma" w:cs="Tahoma"/>
            <w:kern w:val="0"/>
            <w:sz w:val="20"/>
            <w:szCs w:val="20"/>
          </w:rPr>
          <w:t>Nota 11 gennaio 2022 numero 29</w:t>
        </w:r>
      </w:hyperlink>
      <w:r w:rsidRPr="00CC00D4">
        <w:rPr>
          <w:rFonts w:ascii="Tahoma" w:hAnsi="Tahoma" w:cs="Tahoma"/>
          <w:kern w:val="0"/>
          <w:sz w:val="20"/>
          <w:szCs w:val="20"/>
        </w:rPr>
        <w:t xml:space="preserve">. </w:t>
      </w:r>
    </w:p>
    <w:p w14:paraId="111157FB"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Nel documento l'INL rende noto che, essendo l'obbligo in questione "</w:t>
      </w:r>
      <w:r w:rsidRPr="00CC00D4">
        <w:rPr>
          <w:rFonts w:ascii="Tahoma" w:hAnsi="Tahoma" w:cs="Tahoma"/>
          <w:i/>
          <w:iCs/>
          <w:kern w:val="0"/>
          <w:sz w:val="20"/>
          <w:szCs w:val="20"/>
        </w:rPr>
        <w:t>previsto all'interno della disciplina in materia di sospensione dell'attività imprenditoriale di cui all'art. 14 D.Lgs. n. 81/2008</w:t>
      </w:r>
      <w:r w:rsidRPr="00CC00D4">
        <w:rPr>
          <w:rFonts w:ascii="Tahoma" w:hAnsi="Tahoma" w:cs="Tahoma"/>
          <w:kern w:val="0"/>
          <w:sz w:val="20"/>
          <w:szCs w:val="20"/>
        </w:rPr>
        <w:t xml:space="preserve">", sono tenuti ad inviare la comunicazione i soli committenti che operano come imprenditori. </w:t>
      </w:r>
    </w:p>
    <w:p w14:paraId="6168E224" w14:textId="77777777" w:rsidR="0083367E" w:rsidRPr="00CC00D4" w:rsidRDefault="0083367E" w:rsidP="0083367E">
      <w:pPr>
        <w:pStyle w:val="Standard"/>
        <w:spacing w:after="200" w:line="360" w:lineRule="auto"/>
        <w:jc w:val="both"/>
        <w:rPr>
          <w:rFonts w:ascii="Tahoma" w:hAnsi="Tahoma" w:cs="Tahoma"/>
          <w:kern w:val="0"/>
          <w:sz w:val="20"/>
          <w:szCs w:val="20"/>
        </w:rPr>
      </w:pPr>
    </w:p>
    <w:p w14:paraId="0FB8747E"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Sempre l'Ispettorato afferma che la novità riguarda i soli lavoratori autonomi occasionali inquadrabili nella definizione contenuta all'articolo 2222 Codice Civile con esclusione pertanto di:</w:t>
      </w:r>
    </w:p>
    <w:p w14:paraId="3259D174" w14:textId="77777777" w:rsidR="0083367E" w:rsidRPr="00CC00D4" w:rsidRDefault="0083367E">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Rapporti di lavoro subordinati;</w:t>
      </w:r>
    </w:p>
    <w:p w14:paraId="3AC51426" w14:textId="77777777" w:rsidR="0083367E" w:rsidRPr="00CC00D4" w:rsidRDefault="0083367E">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Collaborazioni coordinate e continuative;</w:t>
      </w:r>
    </w:p>
    <w:p w14:paraId="35A2DACF" w14:textId="77777777" w:rsidR="0083367E" w:rsidRPr="00CC00D4" w:rsidRDefault="0083367E">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Prestazioni di lavoro occasionali (disciplinate dall'articolo 54-bis del Decreto Legge 24 aprile 2017 numero 50 convertito in Legge 21 giugno 2017 numero 96);</w:t>
      </w:r>
    </w:p>
    <w:p w14:paraId="43B10B58" w14:textId="77777777" w:rsidR="0083367E" w:rsidRPr="00CC00D4" w:rsidRDefault="0083367E">
      <w:pPr>
        <w:pStyle w:val="Standard"/>
        <w:numPr>
          <w:ilvl w:val="1"/>
          <w:numId w:val="206"/>
        </w:numPr>
        <w:spacing w:after="200" w:line="360" w:lineRule="auto"/>
        <w:ind w:left="709" w:hanging="357"/>
        <w:contextualSpacing/>
        <w:jc w:val="both"/>
        <w:rPr>
          <w:rFonts w:ascii="Tahoma" w:hAnsi="Tahoma" w:cs="Tahoma"/>
          <w:i/>
          <w:iCs/>
          <w:kern w:val="0"/>
          <w:sz w:val="20"/>
          <w:szCs w:val="20"/>
        </w:rPr>
      </w:pPr>
      <w:r w:rsidRPr="00CC00D4">
        <w:rPr>
          <w:rFonts w:ascii="Tahoma" w:hAnsi="Tahoma" w:cs="Tahoma"/>
          <w:kern w:val="0"/>
          <w:sz w:val="20"/>
          <w:szCs w:val="20"/>
        </w:rPr>
        <w:t>Professioni intellettuali ed in generale tutte le attività autonome esercitate in maniera abituale (assoggettate ad IVA) "</w:t>
      </w:r>
      <w:r w:rsidRPr="00CC00D4">
        <w:rPr>
          <w:rFonts w:ascii="Tahoma" w:hAnsi="Tahoma" w:cs="Tahoma"/>
          <w:i/>
          <w:iCs/>
          <w:kern w:val="0"/>
          <w:sz w:val="20"/>
          <w:szCs w:val="20"/>
        </w:rPr>
        <w:t>se tuttavia l'attività effettivamente svolta non corrisponda a quella esercitata in regime IVA, la stessa rientrerà nell'ambito di applicazione della disciplina";</w:t>
      </w:r>
    </w:p>
    <w:p w14:paraId="0F5517D8" w14:textId="2533A591" w:rsidR="000142FF" w:rsidRPr="00CC00D4" w:rsidRDefault="0083367E">
      <w:pPr>
        <w:pStyle w:val="Standard"/>
        <w:numPr>
          <w:ilvl w:val="1"/>
          <w:numId w:val="206"/>
        </w:numPr>
        <w:spacing w:after="200" w:line="360" w:lineRule="auto"/>
        <w:ind w:left="709"/>
        <w:jc w:val="both"/>
        <w:rPr>
          <w:rFonts w:ascii="Tahoma" w:hAnsi="Tahoma" w:cs="Tahoma"/>
          <w:kern w:val="0"/>
          <w:sz w:val="20"/>
          <w:szCs w:val="20"/>
        </w:rPr>
      </w:pPr>
      <w:r w:rsidRPr="00CC00D4">
        <w:rPr>
          <w:rFonts w:ascii="Tahoma" w:hAnsi="Tahoma" w:cs="Tahoma"/>
          <w:kern w:val="0"/>
          <w:sz w:val="20"/>
          <w:szCs w:val="20"/>
        </w:rPr>
        <w:t>Rapporti di lavoro</w:t>
      </w:r>
      <w:r w:rsidRPr="00CC00D4">
        <w:rPr>
          <w:rFonts w:ascii="Tahoma" w:hAnsi="Tahoma" w:cs="Tahoma"/>
          <w:i/>
          <w:iCs/>
          <w:kern w:val="0"/>
          <w:sz w:val="20"/>
          <w:szCs w:val="20"/>
        </w:rPr>
        <w:t xml:space="preserve"> "intermediati da piattaforma digitale</w:t>
      </w:r>
      <w:r w:rsidRPr="00CC00D4">
        <w:rPr>
          <w:rFonts w:ascii="Tahoma" w:hAnsi="Tahoma" w:cs="Tahoma"/>
          <w:kern w:val="0"/>
          <w:sz w:val="20"/>
          <w:szCs w:val="20"/>
        </w:rPr>
        <w:t xml:space="preserve">". </w:t>
      </w:r>
    </w:p>
    <w:p w14:paraId="496373FB" w14:textId="597FCF69" w:rsidR="000142FF" w:rsidRPr="00CC00D4" w:rsidRDefault="000142FF" w:rsidP="000142FF">
      <w:pPr>
        <w:pStyle w:val="Standard"/>
        <w:spacing w:after="200" w:line="360" w:lineRule="auto"/>
        <w:jc w:val="both"/>
        <w:rPr>
          <w:rFonts w:ascii="Tahoma" w:hAnsi="Tahoma" w:cs="Tahoma"/>
          <w:kern w:val="0"/>
          <w:sz w:val="20"/>
          <w:szCs w:val="20"/>
        </w:rPr>
      </w:pPr>
      <w:commentRangeStart w:id="69"/>
      <w:r w:rsidRPr="00CC00D4">
        <w:rPr>
          <w:rFonts w:ascii="Tahoma" w:hAnsi="Tahoma" w:cs="Tahoma"/>
          <w:kern w:val="0"/>
          <w:sz w:val="20"/>
          <w:szCs w:val="20"/>
        </w:rPr>
        <w:t>L’obbligo di comunicazione peraltro non sussiste (</w:t>
      </w:r>
      <w:hyperlink r:id="rId26" w:history="1">
        <w:r w:rsidRPr="00CC00D4">
          <w:rPr>
            <w:rStyle w:val="Collegamentoipertestuale"/>
            <w:rFonts w:ascii="Tahoma" w:hAnsi="Tahoma" w:cs="Tahoma"/>
            <w:kern w:val="0"/>
            <w:sz w:val="20"/>
            <w:szCs w:val="20"/>
          </w:rPr>
          <w:t>Nota INL 1° marzo 2022 numero 393</w:t>
        </w:r>
      </w:hyperlink>
      <w:r w:rsidRPr="00CC00D4">
        <w:rPr>
          <w:rFonts w:ascii="Tahoma" w:hAnsi="Tahoma" w:cs="Tahoma"/>
          <w:kern w:val="0"/>
          <w:sz w:val="20"/>
          <w:szCs w:val="20"/>
        </w:rPr>
        <w:t>) per le attività di:</w:t>
      </w:r>
    </w:p>
    <w:p w14:paraId="3E5B042A" w14:textId="72B82561" w:rsidR="000142FF" w:rsidRPr="00CC00D4" w:rsidRDefault="000142FF">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Volontariato;</w:t>
      </w:r>
    </w:p>
    <w:p w14:paraId="1D7EE982" w14:textId="3EDFD559" w:rsidR="000142FF" w:rsidRPr="00CC00D4" w:rsidRDefault="000142FF">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Guida turistica;</w:t>
      </w:r>
    </w:p>
    <w:p w14:paraId="2C08961E" w14:textId="1C21BD50" w:rsidR="000142FF" w:rsidRPr="00CC00D4" w:rsidRDefault="000142FF">
      <w:pPr>
        <w:pStyle w:val="Standard"/>
        <w:numPr>
          <w:ilvl w:val="1"/>
          <w:numId w:val="206"/>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Prestazioni occasionali rese da traduttori, interpreti e docenti di lingua;</w:t>
      </w:r>
    </w:p>
    <w:p w14:paraId="79B02CB2" w14:textId="7F2879F1" w:rsidR="0016478B" w:rsidRPr="00CC00D4" w:rsidRDefault="000142FF">
      <w:pPr>
        <w:pStyle w:val="Standard"/>
        <w:numPr>
          <w:ilvl w:val="1"/>
          <w:numId w:val="206"/>
        </w:numPr>
        <w:spacing w:after="200" w:line="360" w:lineRule="auto"/>
        <w:ind w:left="709" w:hanging="357"/>
        <w:jc w:val="both"/>
        <w:rPr>
          <w:rFonts w:ascii="Tahoma" w:hAnsi="Tahoma" w:cs="Tahoma"/>
          <w:kern w:val="0"/>
          <w:sz w:val="20"/>
          <w:szCs w:val="20"/>
        </w:rPr>
      </w:pPr>
      <w:r w:rsidRPr="00CC00D4">
        <w:rPr>
          <w:rFonts w:ascii="Tahoma" w:hAnsi="Tahoma" w:cs="Tahoma"/>
          <w:kern w:val="0"/>
          <w:sz w:val="20"/>
          <w:szCs w:val="20"/>
        </w:rPr>
        <w:t xml:space="preserve">Sponsorizzazioni effettuate da atleti che si accordano con società produttrici di abbigliamento sportivo per l’uso della propria immagine. </w:t>
      </w:r>
      <w:commentRangeEnd w:id="69"/>
      <w:r w:rsidR="00F725CB" w:rsidRPr="00CC00D4">
        <w:rPr>
          <w:rStyle w:val="Rimandocommento"/>
          <w:rFonts w:ascii="Calibri" w:hAnsi="Calibri" w:cs="F"/>
          <w:color w:val="auto"/>
          <w:kern w:val="3"/>
          <w:lang w:eastAsia="it-IT" w:bidi="ar-SA"/>
        </w:rPr>
        <w:commentReference w:id="69"/>
      </w:r>
    </w:p>
    <w:p w14:paraId="60FDE009"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Le novità, continua la Nota, si applicano nei confronti dei </w:t>
      </w:r>
      <w:commentRangeStart w:id="70"/>
      <w:r w:rsidRPr="00CC00D4">
        <w:rPr>
          <w:rFonts w:ascii="Tahoma" w:hAnsi="Tahoma" w:cs="Tahoma"/>
          <w:kern w:val="0"/>
          <w:sz w:val="20"/>
          <w:szCs w:val="20"/>
        </w:rPr>
        <w:t>"</w:t>
      </w:r>
      <w:r w:rsidRPr="00CC00D4">
        <w:rPr>
          <w:rFonts w:ascii="Tahoma" w:hAnsi="Tahoma" w:cs="Tahoma"/>
          <w:i/>
          <w:iCs/>
          <w:kern w:val="0"/>
          <w:sz w:val="20"/>
          <w:szCs w:val="20"/>
        </w:rPr>
        <w:t>rapporti avviati dopo l'entrata in vigore della disposizione</w:t>
      </w:r>
      <w:r w:rsidRPr="00CC00D4">
        <w:rPr>
          <w:rFonts w:ascii="Tahoma" w:hAnsi="Tahoma" w:cs="Tahoma"/>
          <w:kern w:val="0"/>
          <w:sz w:val="20"/>
          <w:szCs w:val="20"/>
        </w:rPr>
        <w:t xml:space="preserve">", </w:t>
      </w:r>
      <w:commentRangeEnd w:id="70"/>
      <w:r w:rsidR="00F725CB" w:rsidRPr="00CC00D4">
        <w:rPr>
          <w:rStyle w:val="Rimandocommento"/>
          <w:rFonts w:ascii="Calibri" w:hAnsi="Calibri" w:cs="F"/>
          <w:color w:val="auto"/>
          <w:kern w:val="3"/>
          <w:lang w:eastAsia="it-IT" w:bidi="ar-SA"/>
        </w:rPr>
        <w:commentReference w:id="70"/>
      </w:r>
      <w:r w:rsidRPr="00CC00D4">
        <w:rPr>
          <w:rFonts w:ascii="Tahoma" w:hAnsi="Tahoma" w:cs="Tahoma"/>
          <w:kern w:val="0"/>
          <w:sz w:val="20"/>
          <w:szCs w:val="20"/>
        </w:rPr>
        <w:t xml:space="preserve">coincidente con il 21 dicembre 2021, nonché di quelli "avviati prima, ancora in corso alla data di emanazione della presente nota" (11 gennaio 2022). </w:t>
      </w:r>
    </w:p>
    <w:p w14:paraId="06889177"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In via transitoria, per tutti i rapporti in essere alla data di emanazione del documento INL oltre a quelli iniziati a decorrere dal 21 dicembre e già cessati </w:t>
      </w:r>
      <w:r w:rsidRPr="00CC00D4">
        <w:rPr>
          <w:rFonts w:ascii="Tahoma" w:hAnsi="Tahoma" w:cs="Tahoma"/>
          <w:i/>
          <w:iCs/>
          <w:kern w:val="0"/>
          <w:sz w:val="20"/>
          <w:szCs w:val="20"/>
        </w:rPr>
        <w:t>"in virtù dell'assenza di indicazioni a riguardo</w:t>
      </w:r>
      <w:r w:rsidRPr="00CC00D4">
        <w:rPr>
          <w:rFonts w:ascii="Tahoma" w:hAnsi="Tahoma" w:cs="Tahoma"/>
          <w:kern w:val="0"/>
          <w:sz w:val="20"/>
          <w:szCs w:val="20"/>
        </w:rPr>
        <w:t xml:space="preserve">" la comunicazione dovrà essere effettuata entro il 18 gennaio 2022. </w:t>
      </w:r>
    </w:p>
    <w:p w14:paraId="40412DB0" w14:textId="77777777" w:rsidR="0083367E" w:rsidRPr="00CC00D4" w:rsidRDefault="0083367E" w:rsidP="0083367E">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Resta invece fermo il regime ordinario per gli incarichi avviati successivamente al giorno 11 gennaio 2022. In questi casi la comunicazione andrà effettuata prima dell'inizio della prestazione di lavoro autonomo occasionale, eventualmente indicata nella lettera di incarico.</w:t>
      </w:r>
    </w:p>
    <w:p w14:paraId="59062262" w14:textId="77777777" w:rsidR="00E74A8D" w:rsidRPr="00CC00D4" w:rsidRDefault="009D0E31"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 xml:space="preserve">Ulteriori chiarimenti dell’Ispettorato sono riportati nella Nota del 27 gennaio 2022 numero 109, sotto forma di 10 </w:t>
      </w:r>
      <w:r w:rsidRPr="00CC00D4">
        <w:rPr>
          <w:rFonts w:ascii="Tahoma" w:hAnsi="Tahoma" w:cs="Tahoma"/>
          <w:bCs/>
          <w:i/>
          <w:kern w:val="0"/>
          <w:sz w:val="20"/>
          <w:szCs w:val="20"/>
        </w:rPr>
        <w:t>FAQ</w:t>
      </w:r>
      <w:r w:rsidR="00FF2647" w:rsidRPr="00CC00D4">
        <w:rPr>
          <w:rFonts w:ascii="Tahoma" w:hAnsi="Tahoma" w:cs="Tahoma"/>
          <w:bCs/>
          <w:kern w:val="0"/>
          <w:sz w:val="20"/>
          <w:szCs w:val="20"/>
        </w:rPr>
        <w:t>.</w:t>
      </w:r>
    </w:p>
    <w:p w14:paraId="0EB90BF2" w14:textId="77777777" w:rsidR="00E74A8D" w:rsidRPr="00CC00D4" w:rsidRDefault="00E74A8D">
      <w:pPr>
        <w:suppressAutoHyphens w:val="0"/>
        <w:spacing w:after="0" w:line="240" w:lineRule="auto"/>
        <w:jc w:val="left"/>
        <w:rPr>
          <w:rFonts w:eastAsia="SimSun" w:cs="Tahoma"/>
          <w:bCs/>
          <w:color w:val="00000A"/>
          <w:szCs w:val="20"/>
          <w:lang w:bidi="hi-IN"/>
        </w:rPr>
      </w:pPr>
      <w:r w:rsidRPr="00CC00D4">
        <w:rPr>
          <w:rFonts w:cs="Tahoma"/>
          <w:bCs/>
          <w:szCs w:val="20"/>
        </w:rPr>
        <w:br w:type="page"/>
      </w:r>
    </w:p>
    <w:p w14:paraId="1F82A044" w14:textId="2503DB61" w:rsidR="002558B3" w:rsidRPr="00CC00D4" w:rsidRDefault="00E74A8D"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lastRenderedPageBreak/>
        <w:t xml:space="preserve">Nota Ispettorato Nazionale del Lavoro 27 gennaio 2022 numero 109 </w:t>
      </w:r>
    </w:p>
    <w:p w14:paraId="57C8C9F1" w14:textId="77777777" w:rsidR="00E74A8D" w:rsidRPr="00CC00D4" w:rsidRDefault="00E74A8D" w:rsidP="00E74A8D">
      <w:pPr>
        <w:pStyle w:val="Standard"/>
        <w:spacing w:after="200" w:line="360" w:lineRule="auto"/>
        <w:jc w:val="center"/>
        <w:rPr>
          <w:rFonts w:ascii="Tahoma" w:hAnsi="Tahoma" w:cs="Tahoma"/>
          <w:bCs/>
          <w:noProof/>
          <w:kern w:val="0"/>
          <w:sz w:val="20"/>
          <w:szCs w:val="20"/>
        </w:rPr>
      </w:pPr>
      <w:r w:rsidRPr="00CC00D4">
        <w:rPr>
          <w:rFonts w:ascii="Tahoma" w:hAnsi="Tahoma" w:cs="Tahoma"/>
          <w:bCs/>
          <w:noProof/>
          <w:kern w:val="0"/>
          <w:sz w:val="20"/>
          <w:szCs w:val="20"/>
        </w:rPr>
        <w:drawing>
          <wp:inline distT="0" distB="0" distL="0" distR="0" wp14:anchorId="2A67F921" wp14:editId="20466B0C">
            <wp:extent cx="5551714" cy="7846016"/>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9871" cy="7857544"/>
                    </a:xfrm>
                    <a:prstGeom prst="rect">
                      <a:avLst/>
                    </a:prstGeom>
                  </pic:spPr>
                </pic:pic>
              </a:graphicData>
            </a:graphic>
          </wp:inline>
        </w:drawing>
      </w:r>
    </w:p>
    <w:p w14:paraId="5A7AB601" w14:textId="0DD5A287" w:rsidR="00E74A8D" w:rsidRPr="00CC00D4" w:rsidRDefault="00E74A8D" w:rsidP="00E74A8D">
      <w:pPr>
        <w:pStyle w:val="Standard"/>
        <w:spacing w:after="200" w:line="360" w:lineRule="auto"/>
        <w:jc w:val="center"/>
        <w:rPr>
          <w:rFonts w:ascii="Tahoma" w:hAnsi="Tahoma" w:cs="Tahoma"/>
          <w:bCs/>
          <w:noProof/>
          <w:kern w:val="0"/>
          <w:sz w:val="20"/>
          <w:szCs w:val="20"/>
        </w:rPr>
      </w:pPr>
      <w:r w:rsidRPr="00CC00D4">
        <w:rPr>
          <w:rFonts w:ascii="Tahoma" w:hAnsi="Tahoma" w:cs="Tahoma"/>
          <w:bCs/>
          <w:noProof/>
          <w:kern w:val="0"/>
          <w:sz w:val="20"/>
          <w:szCs w:val="20"/>
        </w:rPr>
        <w:lastRenderedPageBreak/>
        <w:drawing>
          <wp:inline distT="0" distB="0" distL="0" distR="0" wp14:anchorId="3BE0314C" wp14:editId="632E99F8">
            <wp:extent cx="5707210" cy="7674428"/>
            <wp:effectExtent l="0" t="0" r="8255"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rotWithShape="1">
                    <a:blip r:embed="rId28" cstate="print">
                      <a:extLst>
                        <a:ext uri="{28A0092B-C50C-407E-A947-70E740481C1C}">
                          <a14:useLocalDpi xmlns:a14="http://schemas.microsoft.com/office/drawing/2010/main" val="0"/>
                        </a:ext>
                      </a:extLst>
                    </a:blip>
                    <a:srcRect b="4852"/>
                    <a:stretch/>
                  </pic:blipFill>
                  <pic:spPr bwMode="auto">
                    <a:xfrm>
                      <a:off x="0" y="0"/>
                      <a:ext cx="5709931" cy="7678087"/>
                    </a:xfrm>
                    <a:prstGeom prst="rect">
                      <a:avLst/>
                    </a:prstGeom>
                    <a:ln>
                      <a:noFill/>
                    </a:ln>
                    <a:extLst>
                      <a:ext uri="{53640926-AAD7-44D8-BBD7-CCE9431645EC}">
                        <a14:shadowObscured xmlns:a14="http://schemas.microsoft.com/office/drawing/2010/main"/>
                      </a:ext>
                    </a:extLst>
                  </pic:spPr>
                </pic:pic>
              </a:graphicData>
            </a:graphic>
          </wp:inline>
        </w:drawing>
      </w:r>
    </w:p>
    <w:p w14:paraId="714B16AF" w14:textId="2FB8AABC" w:rsidR="009D0E31" w:rsidRPr="00CC00D4" w:rsidRDefault="00E74A8D" w:rsidP="00E74A8D">
      <w:pPr>
        <w:pStyle w:val="Standard"/>
        <w:spacing w:after="200" w:line="360" w:lineRule="auto"/>
        <w:jc w:val="center"/>
        <w:rPr>
          <w:rFonts w:ascii="Tahoma" w:hAnsi="Tahoma" w:cs="Tahoma"/>
          <w:bCs/>
          <w:kern w:val="0"/>
          <w:sz w:val="20"/>
          <w:szCs w:val="20"/>
        </w:rPr>
      </w:pPr>
      <w:r w:rsidRPr="00CC00D4">
        <w:rPr>
          <w:rFonts w:ascii="Tahoma" w:hAnsi="Tahoma" w:cs="Tahoma"/>
          <w:bCs/>
          <w:noProof/>
          <w:kern w:val="0"/>
          <w:sz w:val="20"/>
          <w:szCs w:val="20"/>
        </w:rPr>
        <w:lastRenderedPageBreak/>
        <w:drawing>
          <wp:inline distT="0" distB="0" distL="0" distR="0" wp14:anchorId="15539ED5" wp14:editId="2F3F7001">
            <wp:extent cx="5649595" cy="3837214"/>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29" cstate="print">
                      <a:extLst>
                        <a:ext uri="{28A0092B-C50C-407E-A947-70E740481C1C}">
                          <a14:useLocalDpi xmlns:a14="http://schemas.microsoft.com/office/drawing/2010/main" val="0"/>
                        </a:ext>
                      </a:extLst>
                    </a:blip>
                    <a:srcRect b="51941"/>
                    <a:stretch/>
                  </pic:blipFill>
                  <pic:spPr bwMode="auto">
                    <a:xfrm>
                      <a:off x="0" y="0"/>
                      <a:ext cx="5652507" cy="3839192"/>
                    </a:xfrm>
                    <a:prstGeom prst="rect">
                      <a:avLst/>
                    </a:prstGeom>
                    <a:ln>
                      <a:noFill/>
                    </a:ln>
                    <a:extLst>
                      <a:ext uri="{53640926-AAD7-44D8-BBD7-CCE9431645EC}">
                        <a14:shadowObscured xmlns:a14="http://schemas.microsoft.com/office/drawing/2010/main"/>
                      </a:ext>
                    </a:extLst>
                  </pic:spPr>
                </pic:pic>
              </a:graphicData>
            </a:graphic>
          </wp:inline>
        </w:drawing>
      </w:r>
    </w:p>
    <w:p w14:paraId="488A6DD0" w14:textId="69D11497" w:rsidR="00E74A8D" w:rsidRPr="00CC00D4" w:rsidRDefault="001066BE" w:rsidP="00BE2707">
      <w:pPr>
        <w:pStyle w:val="Sottotitolo"/>
        <w:rPr>
          <w:rFonts w:eastAsia="SimSun"/>
          <w:b w:val="0"/>
          <w:color w:val="00000A"/>
          <w:sz w:val="20"/>
          <w:szCs w:val="20"/>
          <w:u w:val="none"/>
          <w:lang w:bidi="hi-IN"/>
        </w:rPr>
      </w:pPr>
      <w:bookmarkStart w:id="71" w:name="__RefHeading__4386_1479815270"/>
      <w:bookmarkStart w:id="72" w:name="_Toc92386459"/>
      <w:commentRangeStart w:id="73"/>
      <w:r w:rsidRPr="00CC00D4">
        <w:rPr>
          <w:rFonts w:eastAsia="SimSun"/>
          <w:b w:val="0"/>
          <w:color w:val="00000A"/>
          <w:sz w:val="20"/>
          <w:szCs w:val="20"/>
          <w:u w:val="none"/>
          <w:lang w:bidi="hi-IN"/>
        </w:rPr>
        <w:t xml:space="preserve">La successiva </w:t>
      </w:r>
      <w:hyperlink r:id="rId30" w:history="1">
        <w:r w:rsidRPr="00CC00D4">
          <w:rPr>
            <w:rStyle w:val="Collegamentoipertestuale"/>
            <w:rFonts w:eastAsia="SimSun" w:cs="Tahoma"/>
            <w:b w:val="0"/>
            <w:sz w:val="20"/>
            <w:szCs w:val="20"/>
            <w:lang w:bidi="hi-IN"/>
          </w:rPr>
          <w:t>Nota INL del 28 marzo 2022 numero 573</w:t>
        </w:r>
      </w:hyperlink>
      <w:r w:rsidRPr="00CC00D4">
        <w:rPr>
          <w:rFonts w:eastAsia="SimSun"/>
          <w:b w:val="0"/>
          <w:color w:val="00000A"/>
          <w:sz w:val="20"/>
          <w:szCs w:val="20"/>
          <w:u w:val="none"/>
          <w:lang w:bidi="hi-IN"/>
        </w:rPr>
        <w:t xml:space="preserve"> ha disposto la fine del periodo transitorio, inaugurato con il citato documento dell’Ispettorato dell’11 gennaio 2022. Si comunica infatti che da “</w:t>
      </w:r>
      <w:r w:rsidRPr="00CC00D4">
        <w:rPr>
          <w:rFonts w:eastAsia="SimSun"/>
          <w:b w:val="0"/>
          <w:i/>
          <w:iCs/>
          <w:color w:val="00000A"/>
          <w:sz w:val="20"/>
          <w:szCs w:val="20"/>
          <w:u w:val="none"/>
          <w:lang w:bidi="hi-IN"/>
        </w:rPr>
        <w:t>lunedì 28 marzo 2022, sul portale Servizi Lavoro del Ministero del lavoro e delle politiche sociali, è operativa la nuova applicazione che consente di effettuare la comunicazione obbligatoria dei rapporti di lavoro autonomo occasionale di cui all’art. 14 D.Lgs. n. 81/2008</w:t>
      </w:r>
      <w:r w:rsidRPr="00CC00D4">
        <w:rPr>
          <w:rFonts w:eastAsia="SimSun"/>
          <w:b w:val="0"/>
          <w:color w:val="00000A"/>
          <w:sz w:val="20"/>
          <w:szCs w:val="20"/>
          <w:u w:val="none"/>
          <w:lang w:bidi="hi-IN"/>
        </w:rPr>
        <w:t xml:space="preserve">”. </w:t>
      </w:r>
    </w:p>
    <w:p w14:paraId="0FFE179B" w14:textId="77777777" w:rsidR="00805A42" w:rsidRPr="00CC00D4" w:rsidRDefault="001066BE" w:rsidP="00805A42">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La piattaforma presente sul portale “servizi.lavoro.gov.it” è accessibile tramite Spid e Cie (Carta di identità elettronica). </w:t>
      </w:r>
    </w:p>
    <w:p w14:paraId="576915C3" w14:textId="63DC5C25" w:rsidR="001066BE" w:rsidRPr="00CC00D4" w:rsidRDefault="00805A42" w:rsidP="00805A42">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Oltre a dover inserire i dati già evidenziati nella Nota dell’11 gennaio 2022, con riguardo al termine entro il quale sarà conclusa l’opera o il servizio, il modello permette di scegliere tre distinte ipotesi: entro 7 giorni, entro 15 giorni ed entro 30 giorni. Nell’ipotesi in cui l’opera o il servizio non sia compiuto nell’arco temporale indicato sarà necessario effettuare una nuova comunicazione. </w:t>
      </w:r>
    </w:p>
    <w:p w14:paraId="0FA70EEE" w14:textId="77777777" w:rsidR="00233B98" w:rsidRPr="00CC00D4" w:rsidRDefault="00805A42" w:rsidP="00805A42">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Da ultimo, l’INL ha informato che “</w:t>
      </w:r>
      <w:r w:rsidRPr="00CC00D4">
        <w:rPr>
          <w:rFonts w:ascii="Tahoma" w:hAnsi="Tahoma" w:cs="Tahoma"/>
          <w:i/>
          <w:iCs/>
          <w:kern w:val="0"/>
          <w:sz w:val="20"/>
          <w:szCs w:val="20"/>
        </w:rPr>
        <w:t>fino al 30 aprile 2022 sarà possibile continuare ad effettuare la comunicazione in questione anche a mezzo mail</w:t>
      </w:r>
      <w:r w:rsidRPr="00CC00D4">
        <w:rPr>
          <w:rFonts w:ascii="Tahoma" w:hAnsi="Tahoma" w:cs="Tahoma"/>
          <w:kern w:val="0"/>
          <w:sz w:val="20"/>
          <w:szCs w:val="20"/>
        </w:rPr>
        <w:t>”. Tuttavia, a decorrere dal 1° maggio 2022, l’unico “</w:t>
      </w:r>
      <w:r w:rsidRPr="00CC00D4">
        <w:rPr>
          <w:rFonts w:ascii="Tahoma" w:hAnsi="Tahoma" w:cs="Tahoma"/>
          <w:i/>
          <w:iCs/>
          <w:kern w:val="0"/>
          <w:sz w:val="20"/>
          <w:szCs w:val="20"/>
        </w:rPr>
        <w:t>canale valido per assolvere a tale obbligo sarà quello telematico messo a disposizione dal Ministero del lavoro e delle politiche sociali e non saranno ritenute valide – e pertanto sanzionabili – le comunicazioni effettuate a mezzo e-mail direttamente alle sedi degli Ispettorati territoriali del lavoro</w:t>
      </w:r>
      <w:r w:rsidRPr="00CC00D4">
        <w:rPr>
          <w:rFonts w:ascii="Tahoma" w:hAnsi="Tahoma" w:cs="Tahoma"/>
          <w:kern w:val="0"/>
          <w:sz w:val="20"/>
          <w:szCs w:val="20"/>
        </w:rPr>
        <w:t>”.</w:t>
      </w:r>
    </w:p>
    <w:p w14:paraId="7DE6E98D" w14:textId="3443F882" w:rsidR="001066BE" w:rsidRPr="00CC00D4" w:rsidRDefault="00233B98" w:rsidP="00233B98">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 xml:space="preserve">In ogni caso, ha affermato la successiva </w:t>
      </w:r>
      <w:hyperlink r:id="rId31" w:history="1">
        <w:r w:rsidRPr="00CC00D4">
          <w:rPr>
            <w:rStyle w:val="Collegamentoipertestuale"/>
            <w:rFonts w:ascii="Tahoma" w:hAnsi="Tahoma" w:cs="Tahoma"/>
            <w:kern w:val="0"/>
            <w:sz w:val="20"/>
            <w:szCs w:val="20"/>
          </w:rPr>
          <w:t>Nota dell’Ispettorato del 22 aprile 2022 numero 881</w:t>
        </w:r>
      </w:hyperlink>
      <w:r w:rsidRPr="00CC00D4">
        <w:rPr>
          <w:rFonts w:ascii="Tahoma" w:hAnsi="Tahoma" w:cs="Tahoma"/>
          <w:kern w:val="0"/>
          <w:sz w:val="20"/>
          <w:szCs w:val="20"/>
        </w:rPr>
        <w:t>, al fine di salvaguardare la possibilità di adempiere all'obbligo di legge anche in caso di malfunzionamento del sistema o in altre ipotesi connesse ad oggettive difficoltà del committente “</w:t>
      </w:r>
      <w:r w:rsidRPr="00CC00D4">
        <w:rPr>
          <w:rFonts w:ascii="Tahoma" w:hAnsi="Tahoma" w:cs="Tahoma"/>
          <w:i/>
          <w:iCs/>
          <w:kern w:val="0"/>
          <w:sz w:val="20"/>
          <w:szCs w:val="20"/>
        </w:rPr>
        <w:t>si ritiene opportuno mantenere attive le caselle di posta elettronica già indicate</w:t>
      </w:r>
      <w:r w:rsidRPr="00CC00D4">
        <w:rPr>
          <w:rFonts w:ascii="Tahoma" w:hAnsi="Tahoma" w:cs="Tahoma"/>
          <w:kern w:val="0"/>
          <w:sz w:val="20"/>
          <w:szCs w:val="20"/>
        </w:rPr>
        <w:t xml:space="preserve">” con la Nota dell’11 gennaio 2022. </w:t>
      </w:r>
    </w:p>
    <w:p w14:paraId="7A8F9C59" w14:textId="056C580A" w:rsidR="00233B98" w:rsidRPr="00CC00D4" w:rsidRDefault="00233B98" w:rsidP="00233B98">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L’INL evidenzia tuttavia che la trasmissione della comunicazione a mezzo e-mail non consente, contrariamente “</w:t>
      </w:r>
      <w:r w:rsidRPr="00CC00D4">
        <w:rPr>
          <w:rFonts w:ascii="Tahoma" w:hAnsi="Tahoma" w:cs="Tahoma"/>
          <w:i/>
          <w:iCs/>
          <w:kern w:val="0"/>
          <w:sz w:val="20"/>
          <w:szCs w:val="20"/>
        </w:rPr>
        <w:t>a quanto potrà avvenire attraverso il servizio predisposto dal Ministero del lavoro, un efficace monitoraggio degli adempimenti, proprio in ragione delle difficoltà di disporre di un quadro complessivo delle trasmissioni effettuate dal medesimo committente e dei relativi contenuti</w:t>
      </w:r>
      <w:r w:rsidRPr="00CC00D4">
        <w:rPr>
          <w:rFonts w:ascii="Tahoma" w:hAnsi="Tahoma" w:cs="Tahoma"/>
          <w:kern w:val="0"/>
          <w:sz w:val="20"/>
          <w:szCs w:val="20"/>
        </w:rPr>
        <w:t xml:space="preserve">”. </w:t>
      </w:r>
      <w:r w:rsidR="00A650BD" w:rsidRPr="00CC00D4">
        <w:rPr>
          <w:rFonts w:ascii="Tahoma" w:hAnsi="Tahoma" w:cs="Tahoma"/>
          <w:kern w:val="0"/>
          <w:sz w:val="20"/>
          <w:szCs w:val="20"/>
        </w:rPr>
        <w:t>Per queste ragioni, prosegue l’Ispettorato, si ritiene “</w:t>
      </w:r>
      <w:r w:rsidR="00A650BD" w:rsidRPr="00CC00D4">
        <w:rPr>
          <w:rFonts w:ascii="Tahoma" w:hAnsi="Tahoma" w:cs="Tahoma"/>
          <w:i/>
          <w:iCs/>
          <w:kern w:val="0"/>
          <w:sz w:val="20"/>
          <w:szCs w:val="20"/>
        </w:rPr>
        <w:t>opportuno che eventuali verifiche, anche a campione, che codesti Uffici vorranno attivare siano prioritariamente effettuate nei confronti di committenti che facciano uso della posta elettronica anziché della citata applicazione</w:t>
      </w:r>
      <w:r w:rsidR="00A650BD" w:rsidRPr="00CC00D4">
        <w:rPr>
          <w:rFonts w:ascii="Tahoma" w:hAnsi="Tahoma" w:cs="Tahoma"/>
          <w:kern w:val="0"/>
          <w:sz w:val="20"/>
          <w:szCs w:val="20"/>
        </w:rPr>
        <w:t xml:space="preserve">”. </w:t>
      </w:r>
      <w:commentRangeEnd w:id="73"/>
      <w:r w:rsidR="00F725CB" w:rsidRPr="00CC00D4">
        <w:rPr>
          <w:rStyle w:val="Rimandocommento"/>
          <w:rFonts w:ascii="Calibri" w:hAnsi="Calibri" w:cs="F"/>
          <w:color w:val="auto"/>
          <w:kern w:val="3"/>
          <w:lang w:eastAsia="it-IT" w:bidi="ar-SA"/>
        </w:rPr>
        <w:commentReference w:id="73"/>
      </w:r>
    </w:p>
    <w:p w14:paraId="287A184E" w14:textId="77777777" w:rsidR="00634069" w:rsidRPr="00CC00D4" w:rsidRDefault="00634069" w:rsidP="00233B98">
      <w:pPr>
        <w:pStyle w:val="Standard"/>
        <w:spacing w:after="200" w:line="360" w:lineRule="auto"/>
        <w:jc w:val="both"/>
        <w:rPr>
          <w:rFonts w:ascii="Tahoma" w:hAnsi="Tahoma" w:cs="Tahoma"/>
          <w:kern w:val="0"/>
          <w:sz w:val="20"/>
          <w:szCs w:val="20"/>
        </w:rPr>
      </w:pPr>
    </w:p>
    <w:p w14:paraId="68B22A70" w14:textId="4249C049" w:rsidR="002558B3" w:rsidRPr="00CC00D4" w:rsidRDefault="002558B3" w:rsidP="009E4A78">
      <w:pPr>
        <w:pStyle w:val="Titolo2"/>
      </w:pPr>
      <w:bookmarkStart w:id="74" w:name="_Toc124266226"/>
      <w:r w:rsidRPr="00CC00D4">
        <w:t>2.1 Il rinvio al lavoro intermittente</w:t>
      </w:r>
      <w:bookmarkEnd w:id="71"/>
      <w:bookmarkEnd w:id="72"/>
      <w:bookmarkEnd w:id="74"/>
    </w:p>
    <w:p w14:paraId="1612F61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L’articolo 14 del Testo unico in materia di tutela della salute e della sicurezza nei luoghi di lavoro, come modificato dal Decreto “Fiscale”, sulle modalità operative della comunicazione riguardante i lavoratori autonomi occasionali rinvia all’articolo 15 comma 3 del citato D.lgs. 81/2015.</w:t>
      </w:r>
    </w:p>
    <w:p w14:paraId="7076827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Questa norma prevede l’obbligo per il datore di lavoro:</w:t>
      </w:r>
    </w:p>
    <w:p w14:paraId="0D77704A" w14:textId="77777777" w:rsidR="002558B3" w:rsidRPr="00CC00D4" w:rsidRDefault="002558B3">
      <w:pPr>
        <w:pStyle w:val="Paragrafoelenco"/>
        <w:numPr>
          <w:ilvl w:val="0"/>
          <w:numId w:val="68"/>
        </w:numPr>
        <w:autoSpaceDN w:val="0"/>
        <w:ind w:left="709" w:hanging="357"/>
        <w:contextualSpacing/>
        <w:textAlignment w:val="baseline"/>
        <w:rPr>
          <w:rFonts w:cs="Tahoma"/>
          <w:szCs w:val="20"/>
        </w:rPr>
      </w:pPr>
      <w:r w:rsidRPr="00CC00D4">
        <w:rPr>
          <w:rFonts w:cs="Tahoma"/>
          <w:bCs/>
          <w:szCs w:val="20"/>
        </w:rPr>
        <w:t>Prima dell’inizio della prestazione lavorativa;</w:t>
      </w:r>
    </w:p>
    <w:p w14:paraId="3A1B79C3" w14:textId="77777777" w:rsidR="002558B3" w:rsidRPr="00CC00D4" w:rsidRDefault="002558B3">
      <w:pPr>
        <w:pStyle w:val="Paragrafoelenco"/>
        <w:numPr>
          <w:ilvl w:val="0"/>
          <w:numId w:val="68"/>
        </w:numPr>
        <w:autoSpaceDN w:val="0"/>
        <w:ind w:left="709"/>
        <w:textAlignment w:val="baseline"/>
        <w:rPr>
          <w:rFonts w:cs="Tahoma"/>
          <w:szCs w:val="20"/>
        </w:rPr>
      </w:pPr>
      <w:r w:rsidRPr="00CC00D4">
        <w:rPr>
          <w:rFonts w:cs="Tahoma"/>
          <w:bCs/>
          <w:szCs w:val="20"/>
        </w:rPr>
        <w:t>Ovvero prima di un ciclo integrato di prestazioni di durata non superiore a trenta giorni;</w:t>
      </w:r>
    </w:p>
    <w:p w14:paraId="4B1AEE2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nell’ambito dei rapporti di lavoro intermittente, di “</w:t>
      </w:r>
      <w:r w:rsidRPr="00CC00D4">
        <w:rPr>
          <w:rFonts w:ascii="Tahoma" w:hAnsi="Tahoma" w:cs="Tahoma"/>
          <w:bCs/>
          <w:i/>
          <w:kern w:val="0"/>
          <w:sz w:val="20"/>
          <w:szCs w:val="20"/>
        </w:rPr>
        <w:t>comunicarne la durata alla direzione territoriale del lavoro competente per territorio, mediante sms o posta elettronica</w:t>
      </w:r>
      <w:r w:rsidRPr="00CC00D4">
        <w:rPr>
          <w:rFonts w:ascii="Tahoma" w:hAnsi="Tahoma" w:cs="Tahoma"/>
          <w:bCs/>
          <w:kern w:val="0"/>
          <w:sz w:val="20"/>
          <w:szCs w:val="20"/>
        </w:rPr>
        <w:t>”.</w:t>
      </w:r>
    </w:p>
    <w:p w14:paraId="632E3BF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Nel frattempo la DTL è divenuta Ispettorato territoriale del lavoro e la comunicazione (da inoltrarsi anche nel giorno stesso di inizio della prestazione purché prima dell’effettivo impiego del lavoratore) avviene (come indicato dal Decreto Ministeriale 27 marzo 2013 e dalla Circolare del Ministero del Lavoro e delle Politiche Sociali del 27 giugno 2013 numero 27) a mezzo invio del </w:t>
      </w:r>
      <w:hyperlink r:id="rId32" w:history="1">
        <w:r w:rsidRPr="00CC00D4">
          <w:rPr>
            <w:rStyle w:val="Collegamentoipertestuale"/>
            <w:rFonts w:ascii="Tahoma" w:hAnsi="Tahoma" w:cs="Tahoma"/>
            <w:bCs/>
            <w:kern w:val="0"/>
            <w:sz w:val="20"/>
            <w:szCs w:val="20"/>
          </w:rPr>
          <w:t>Modello “Uni-Intermittente”.</w:t>
        </w:r>
      </w:hyperlink>
    </w:p>
    <w:p w14:paraId="7FBFFDC5" w14:textId="77777777" w:rsidR="002558B3" w:rsidRPr="00CC00D4" w:rsidRDefault="00F32F1F"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modello</w:t>
      </w:r>
      <w:r w:rsidR="002558B3" w:rsidRPr="00CC00D4">
        <w:rPr>
          <w:rFonts w:ascii="Tahoma" w:hAnsi="Tahoma" w:cs="Tahoma"/>
          <w:bCs/>
          <w:kern w:val="0"/>
          <w:sz w:val="20"/>
          <w:szCs w:val="20"/>
        </w:rPr>
        <w:t xml:space="preserve"> in questione “</w:t>
      </w:r>
      <w:r w:rsidR="002558B3" w:rsidRPr="00CC00D4">
        <w:rPr>
          <w:rFonts w:ascii="Tahoma" w:hAnsi="Tahoma" w:cs="Tahoma"/>
          <w:bCs/>
          <w:i/>
          <w:kern w:val="0"/>
          <w:sz w:val="20"/>
          <w:szCs w:val="20"/>
        </w:rPr>
        <w:t>che non sostituisce in alcun modo la comunicazione preventiva di assunzione</w:t>
      </w:r>
      <w:r w:rsidR="002558B3" w:rsidRPr="00CC00D4">
        <w:rPr>
          <w:rFonts w:ascii="Tahoma" w:hAnsi="Tahoma" w:cs="Tahoma"/>
          <w:bCs/>
          <w:kern w:val="0"/>
          <w:sz w:val="20"/>
          <w:szCs w:val="20"/>
        </w:rPr>
        <w:t>” (Circolare numero 27/2013) contiene:</w:t>
      </w:r>
    </w:p>
    <w:p w14:paraId="03777CDC" w14:textId="77777777" w:rsidR="002558B3" w:rsidRPr="00CC00D4" w:rsidRDefault="002558B3">
      <w:pPr>
        <w:pStyle w:val="Paragrafoelenco"/>
        <w:numPr>
          <w:ilvl w:val="0"/>
          <w:numId w:val="70"/>
        </w:numPr>
        <w:autoSpaceDN w:val="0"/>
        <w:ind w:left="709" w:hanging="357"/>
        <w:contextualSpacing/>
        <w:textAlignment w:val="baseline"/>
        <w:rPr>
          <w:rFonts w:cs="Tahoma"/>
          <w:szCs w:val="20"/>
        </w:rPr>
      </w:pPr>
      <w:r w:rsidRPr="00CC00D4">
        <w:rPr>
          <w:rFonts w:cs="Tahoma"/>
          <w:bCs/>
          <w:szCs w:val="20"/>
        </w:rPr>
        <w:t>I dati identificativi del datore di lavoro e del lavoratore;</w:t>
      </w:r>
    </w:p>
    <w:p w14:paraId="19FDB501" w14:textId="77777777" w:rsidR="002558B3" w:rsidRPr="00CC00D4" w:rsidRDefault="002558B3">
      <w:pPr>
        <w:pStyle w:val="Paragrafoelenco"/>
        <w:numPr>
          <w:ilvl w:val="0"/>
          <w:numId w:val="70"/>
        </w:numPr>
        <w:autoSpaceDN w:val="0"/>
        <w:ind w:left="709"/>
        <w:textAlignment w:val="baseline"/>
        <w:rPr>
          <w:rFonts w:cs="Tahoma"/>
          <w:szCs w:val="20"/>
        </w:rPr>
      </w:pPr>
      <w:r w:rsidRPr="00CC00D4">
        <w:rPr>
          <w:rFonts w:cs="Tahoma"/>
          <w:bCs/>
          <w:szCs w:val="20"/>
        </w:rPr>
        <w:t>La data di inizio e fine della prestazione lavorativa cui la chiamata si riferisce.</w:t>
      </w:r>
    </w:p>
    <w:p w14:paraId="351599D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lastRenderedPageBreak/>
        <w:t>I canali di invio della comunicazione comprendono:</w:t>
      </w:r>
    </w:p>
    <w:p w14:paraId="18BC9D76" w14:textId="77777777" w:rsidR="002558B3" w:rsidRPr="00CC00D4" w:rsidRDefault="002558B3">
      <w:pPr>
        <w:pStyle w:val="Paragrafoelenco"/>
        <w:numPr>
          <w:ilvl w:val="0"/>
          <w:numId w:val="69"/>
        </w:numPr>
        <w:autoSpaceDN w:val="0"/>
        <w:ind w:left="709" w:hanging="357"/>
        <w:contextualSpacing/>
        <w:textAlignment w:val="baseline"/>
        <w:rPr>
          <w:rFonts w:cs="Tahoma"/>
          <w:szCs w:val="20"/>
        </w:rPr>
      </w:pPr>
      <w:r w:rsidRPr="00CC00D4">
        <w:rPr>
          <w:rFonts w:cs="Tahoma"/>
          <w:bCs/>
          <w:szCs w:val="20"/>
        </w:rPr>
        <w:t>Portale “</w:t>
      </w:r>
      <w:r w:rsidRPr="00CC00D4">
        <w:rPr>
          <w:rFonts w:cs="Tahoma"/>
          <w:bCs/>
          <w:i/>
          <w:szCs w:val="20"/>
        </w:rPr>
        <w:t>cliclavoro.gov.it – Aziende – Adempimenti – Lavoro intermittente</w:t>
      </w:r>
      <w:r w:rsidRPr="00CC00D4">
        <w:rPr>
          <w:rFonts w:cs="Tahoma"/>
          <w:bCs/>
          <w:szCs w:val="20"/>
        </w:rPr>
        <w:t>” per gli utenti in possesso delle credenziali SPID o CIE;</w:t>
      </w:r>
    </w:p>
    <w:p w14:paraId="16F17A1B" w14:textId="77777777" w:rsidR="002558B3" w:rsidRPr="00CC00D4" w:rsidRDefault="002558B3">
      <w:pPr>
        <w:pStyle w:val="Paragrafoelenco"/>
        <w:numPr>
          <w:ilvl w:val="0"/>
          <w:numId w:val="69"/>
        </w:numPr>
        <w:autoSpaceDN w:val="0"/>
        <w:ind w:left="709" w:hanging="357"/>
        <w:contextualSpacing/>
        <w:textAlignment w:val="baseline"/>
        <w:rPr>
          <w:rFonts w:cs="Tahoma"/>
          <w:szCs w:val="20"/>
        </w:rPr>
      </w:pPr>
      <w:r w:rsidRPr="00CC00D4">
        <w:rPr>
          <w:rFonts w:cs="Tahoma"/>
          <w:bCs/>
          <w:szCs w:val="20"/>
        </w:rPr>
        <w:t xml:space="preserve">Email inviata all’indirizzo di posta elettronica certificata </w:t>
      </w:r>
      <w:hyperlink r:id="rId33" w:history="1">
        <w:r w:rsidRPr="00CC00D4">
          <w:rPr>
            <w:rFonts w:cs="Tahoma"/>
            <w:bCs/>
            <w:i/>
            <w:szCs w:val="20"/>
          </w:rPr>
          <w:t>intermittenti@pec.lavoro.gov.it</w:t>
        </w:r>
      </w:hyperlink>
      <w:r w:rsidRPr="00CC00D4">
        <w:rPr>
          <w:rFonts w:cs="Tahoma"/>
          <w:bCs/>
          <w:szCs w:val="20"/>
        </w:rPr>
        <w:t>;</w:t>
      </w:r>
    </w:p>
    <w:p w14:paraId="48E6272A" w14:textId="77777777" w:rsidR="002558B3" w:rsidRPr="00CC00D4" w:rsidRDefault="002558B3">
      <w:pPr>
        <w:pStyle w:val="Paragrafoelenco"/>
        <w:numPr>
          <w:ilvl w:val="0"/>
          <w:numId w:val="69"/>
        </w:numPr>
        <w:autoSpaceDN w:val="0"/>
        <w:ind w:left="709" w:hanging="357"/>
        <w:contextualSpacing/>
        <w:textAlignment w:val="baseline"/>
        <w:rPr>
          <w:rFonts w:cs="Tahoma"/>
          <w:szCs w:val="20"/>
        </w:rPr>
      </w:pPr>
      <w:r w:rsidRPr="00CC00D4">
        <w:rPr>
          <w:rFonts w:cs="Tahoma"/>
          <w:bCs/>
          <w:szCs w:val="20"/>
        </w:rPr>
        <w:t>SMS al numero 339.9942256 contenente almeno il codice fiscale del lavoratore;</w:t>
      </w:r>
    </w:p>
    <w:p w14:paraId="4079496E" w14:textId="77777777" w:rsidR="002558B3" w:rsidRPr="00CC00D4" w:rsidRDefault="002558B3">
      <w:pPr>
        <w:pStyle w:val="Paragrafoelenco"/>
        <w:numPr>
          <w:ilvl w:val="0"/>
          <w:numId w:val="69"/>
        </w:numPr>
        <w:autoSpaceDN w:val="0"/>
        <w:ind w:left="709"/>
        <w:textAlignment w:val="baseline"/>
        <w:rPr>
          <w:rFonts w:cs="Tahoma"/>
          <w:szCs w:val="20"/>
        </w:rPr>
      </w:pPr>
      <w:r w:rsidRPr="00CC00D4">
        <w:rPr>
          <w:rFonts w:cs="Tahoma"/>
          <w:bCs/>
          <w:szCs w:val="20"/>
        </w:rPr>
        <w:t>“App Lavoro Intermittente” disponibile per smartphone e tablet.</w:t>
      </w:r>
    </w:p>
    <w:p w14:paraId="0802CC4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malfunzionamento dei sistemi di trasmissione, l’invio della comunicazione preventiva può avvenire a mezzo fax indirizzato all’Ispettorato Territoriale del Lavoro (ex DTL) competente.</w:t>
      </w:r>
    </w:p>
    <w:p w14:paraId="6E63153B" w14:textId="77777777" w:rsidR="0083367E" w:rsidRPr="00CC00D4" w:rsidRDefault="002558B3" w:rsidP="00CB351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Al datore di lavoro è comunque fatto obbligo di conservare copia del fax oltre alla ricevuta di malfunzionamento rilasciata dal servizio informatico.</w:t>
      </w:r>
      <w:r w:rsidR="0083367E" w:rsidRPr="00CC00D4">
        <w:rPr>
          <w:rFonts w:ascii="Tahoma" w:hAnsi="Tahoma" w:cs="Tahoma"/>
          <w:bCs/>
          <w:kern w:val="0"/>
          <w:sz w:val="20"/>
          <w:szCs w:val="20"/>
        </w:rPr>
        <w:t xml:space="preserve"> </w:t>
      </w:r>
    </w:p>
    <w:p w14:paraId="6A32720A" w14:textId="77777777" w:rsidR="0083367E" w:rsidRPr="00CC00D4" w:rsidRDefault="0083367E" w:rsidP="00CB351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Con specifico riferimento al nuovo obbligo di comunicazione previsto per i lavoratori autonomi occasionali, l'INL chiarisce che "</w:t>
      </w:r>
      <w:r w:rsidRPr="00CC00D4">
        <w:rPr>
          <w:rFonts w:ascii="Tahoma" w:hAnsi="Tahoma" w:cs="Tahoma"/>
          <w:bCs/>
          <w:i/>
          <w:iCs/>
          <w:kern w:val="0"/>
          <w:sz w:val="20"/>
          <w:szCs w:val="20"/>
        </w:rPr>
        <w:t>il Ministero del lavoro e delle politiche sociali provvederà ad aggiornare / integrare gli applicativi già in uso, al fine di consentire una semplificazione degli adempimenti</w:t>
      </w:r>
      <w:r w:rsidRPr="00CC00D4">
        <w:rPr>
          <w:rFonts w:ascii="Tahoma" w:hAnsi="Tahoma" w:cs="Tahoma"/>
          <w:bCs/>
          <w:kern w:val="0"/>
          <w:sz w:val="20"/>
          <w:szCs w:val="20"/>
        </w:rPr>
        <w:t xml:space="preserve">". </w:t>
      </w:r>
    </w:p>
    <w:p w14:paraId="2C4DE258" w14:textId="77777777" w:rsidR="0083367E" w:rsidRPr="00CC00D4" w:rsidRDefault="0083367E" w:rsidP="00CB351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Pertanto, sino all'adeguamento delle procedure, l'attività degli occasionali dovrà essere segnalata a mezzo invio di una e-mail ad un indirizzo di posta elettronica ordinaria appositamente creato da ciascun Ispettorato Territoriale del Lavoro (</w:t>
      </w:r>
      <w:hyperlink r:id="rId34" w:history="1">
        <w:r w:rsidRPr="00CC00D4">
          <w:rPr>
            <w:rStyle w:val="Collegamentoipertestuale"/>
            <w:rFonts w:ascii="Tahoma" w:hAnsi="Tahoma" w:cs="Tahoma"/>
            <w:bCs/>
            <w:kern w:val="0"/>
            <w:sz w:val="20"/>
            <w:szCs w:val="20"/>
          </w:rPr>
          <w:t>l'elenco completo è allegato alla Nota dell'11 gennaio 2022</w:t>
        </w:r>
      </w:hyperlink>
      <w:r w:rsidRPr="00CC00D4">
        <w:rPr>
          <w:rFonts w:ascii="Tahoma" w:hAnsi="Tahoma" w:cs="Tahoma"/>
          <w:bCs/>
          <w:kern w:val="0"/>
          <w:sz w:val="20"/>
          <w:szCs w:val="20"/>
        </w:rPr>
        <w:t xml:space="preserve">). </w:t>
      </w:r>
    </w:p>
    <w:p w14:paraId="42F11559" w14:textId="77777777" w:rsidR="0083367E" w:rsidRPr="00CC00D4" w:rsidRDefault="0083367E" w:rsidP="00CB351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 xml:space="preserve">Il documento dovrà riportare i seguenti contenuti minimi (altrimenti sarà considerato omesso): </w:t>
      </w:r>
    </w:p>
    <w:p w14:paraId="35CCC6D5" w14:textId="77777777" w:rsidR="0083367E" w:rsidRPr="00CC00D4" w:rsidRDefault="0083367E">
      <w:pPr>
        <w:pStyle w:val="Standard"/>
        <w:numPr>
          <w:ilvl w:val="1"/>
          <w:numId w:val="207"/>
        </w:numPr>
        <w:spacing w:after="200" w:line="360" w:lineRule="auto"/>
        <w:ind w:left="709" w:hanging="357"/>
        <w:contextualSpacing/>
        <w:jc w:val="both"/>
        <w:rPr>
          <w:rFonts w:ascii="Tahoma" w:hAnsi="Tahoma" w:cs="Tahoma"/>
          <w:bCs/>
          <w:kern w:val="0"/>
          <w:sz w:val="20"/>
          <w:szCs w:val="20"/>
        </w:rPr>
      </w:pPr>
      <w:r w:rsidRPr="00CC00D4">
        <w:rPr>
          <w:rFonts w:ascii="Tahoma" w:hAnsi="Tahoma" w:cs="Tahoma"/>
          <w:bCs/>
          <w:kern w:val="0"/>
          <w:sz w:val="20"/>
          <w:szCs w:val="20"/>
        </w:rPr>
        <w:t>Dati del committente e del prestatore;</w:t>
      </w:r>
    </w:p>
    <w:p w14:paraId="0BF4A882" w14:textId="77777777" w:rsidR="0083367E" w:rsidRPr="00CC00D4" w:rsidRDefault="0083367E">
      <w:pPr>
        <w:pStyle w:val="Standard"/>
        <w:numPr>
          <w:ilvl w:val="1"/>
          <w:numId w:val="207"/>
        </w:numPr>
        <w:spacing w:after="200" w:line="360" w:lineRule="auto"/>
        <w:ind w:left="709" w:hanging="357"/>
        <w:contextualSpacing/>
        <w:jc w:val="both"/>
        <w:rPr>
          <w:rFonts w:ascii="Tahoma" w:hAnsi="Tahoma" w:cs="Tahoma"/>
          <w:bCs/>
          <w:kern w:val="0"/>
          <w:sz w:val="20"/>
          <w:szCs w:val="20"/>
        </w:rPr>
      </w:pPr>
      <w:r w:rsidRPr="00CC00D4">
        <w:rPr>
          <w:rFonts w:ascii="Tahoma" w:hAnsi="Tahoma" w:cs="Tahoma"/>
          <w:bCs/>
          <w:kern w:val="0"/>
          <w:sz w:val="20"/>
          <w:szCs w:val="20"/>
        </w:rPr>
        <w:t>Luogo della prestazione;</w:t>
      </w:r>
    </w:p>
    <w:p w14:paraId="43F12F82" w14:textId="77777777" w:rsidR="0083367E" w:rsidRPr="00CC00D4" w:rsidRDefault="0083367E">
      <w:pPr>
        <w:pStyle w:val="Standard"/>
        <w:numPr>
          <w:ilvl w:val="1"/>
          <w:numId w:val="207"/>
        </w:numPr>
        <w:spacing w:after="200" w:line="360" w:lineRule="auto"/>
        <w:ind w:left="709" w:hanging="357"/>
        <w:contextualSpacing/>
        <w:jc w:val="both"/>
        <w:rPr>
          <w:rFonts w:ascii="Tahoma" w:hAnsi="Tahoma" w:cs="Tahoma"/>
          <w:bCs/>
          <w:kern w:val="0"/>
          <w:sz w:val="20"/>
          <w:szCs w:val="20"/>
        </w:rPr>
      </w:pPr>
      <w:r w:rsidRPr="00CC00D4">
        <w:rPr>
          <w:rFonts w:ascii="Tahoma" w:hAnsi="Tahoma" w:cs="Tahoma"/>
          <w:bCs/>
          <w:kern w:val="0"/>
          <w:sz w:val="20"/>
          <w:szCs w:val="20"/>
        </w:rPr>
        <w:t>Descrizione sintetica dell'attività;</w:t>
      </w:r>
    </w:p>
    <w:p w14:paraId="16B8757B" w14:textId="77777777" w:rsidR="0083367E" w:rsidRPr="00CC00D4" w:rsidRDefault="0083367E">
      <w:pPr>
        <w:pStyle w:val="Standard"/>
        <w:numPr>
          <w:ilvl w:val="1"/>
          <w:numId w:val="207"/>
        </w:numPr>
        <w:spacing w:after="200" w:line="360" w:lineRule="auto"/>
        <w:ind w:left="709" w:hanging="357"/>
        <w:contextualSpacing/>
        <w:jc w:val="both"/>
        <w:rPr>
          <w:rFonts w:ascii="Tahoma" w:hAnsi="Tahoma" w:cs="Tahoma"/>
          <w:bCs/>
          <w:kern w:val="0"/>
          <w:sz w:val="20"/>
          <w:szCs w:val="20"/>
        </w:rPr>
      </w:pPr>
      <w:r w:rsidRPr="00CC00D4">
        <w:rPr>
          <w:rFonts w:ascii="Tahoma" w:hAnsi="Tahoma" w:cs="Tahoma"/>
          <w:bCs/>
          <w:kern w:val="0"/>
          <w:sz w:val="20"/>
          <w:szCs w:val="20"/>
        </w:rPr>
        <w:t>Data di avvio della prestazione e presumibile durata della stessa;</w:t>
      </w:r>
    </w:p>
    <w:p w14:paraId="3D7FAEB3" w14:textId="77777777" w:rsidR="0083367E" w:rsidRPr="00CC00D4" w:rsidRDefault="0083367E">
      <w:pPr>
        <w:pStyle w:val="Standard"/>
        <w:numPr>
          <w:ilvl w:val="1"/>
          <w:numId w:val="207"/>
        </w:numPr>
        <w:spacing w:after="200" w:line="360" w:lineRule="auto"/>
        <w:ind w:left="709" w:hanging="357"/>
        <w:jc w:val="both"/>
        <w:rPr>
          <w:rFonts w:ascii="Tahoma" w:hAnsi="Tahoma" w:cs="Tahoma"/>
          <w:bCs/>
          <w:kern w:val="0"/>
          <w:sz w:val="20"/>
          <w:szCs w:val="20"/>
        </w:rPr>
      </w:pPr>
      <w:r w:rsidRPr="00CC00D4">
        <w:rPr>
          <w:rFonts w:ascii="Tahoma" w:hAnsi="Tahoma" w:cs="Tahoma"/>
          <w:bCs/>
          <w:kern w:val="0"/>
          <w:sz w:val="20"/>
          <w:szCs w:val="20"/>
        </w:rPr>
        <w:t xml:space="preserve">Ammontare del compenso stabilito al momento dell'incarico. </w:t>
      </w:r>
    </w:p>
    <w:p w14:paraId="665DD9A6" w14:textId="77777777" w:rsidR="0083367E" w:rsidRPr="00CC00D4" w:rsidRDefault="0083367E" w:rsidP="00CB351E">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 xml:space="preserve">Copia della comunicazione sarà conservata dal committente. </w:t>
      </w:r>
    </w:p>
    <w:p w14:paraId="3973A03A" w14:textId="77777777" w:rsidR="002558B3" w:rsidRPr="00CC00D4" w:rsidRDefault="0083367E" w:rsidP="00CB351E">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Una segnalazione già trasmessa potrà essere annullata o modificata in un momento antecedente l'inizio dell'attività.    </w:t>
      </w:r>
    </w:p>
    <w:p w14:paraId="7194379D" w14:textId="77777777" w:rsidR="00634069" w:rsidRPr="00CC00D4" w:rsidRDefault="00634069" w:rsidP="009E4A78">
      <w:pPr>
        <w:pStyle w:val="Titolo2"/>
      </w:pPr>
      <w:bookmarkStart w:id="75" w:name="__RefHeading__4388_1479815270"/>
      <w:bookmarkStart w:id="76" w:name="_Toc92386460"/>
    </w:p>
    <w:p w14:paraId="7E8F90FE" w14:textId="576FA831" w:rsidR="002558B3" w:rsidRPr="00CC00D4" w:rsidRDefault="002558B3" w:rsidP="009E4A78">
      <w:pPr>
        <w:pStyle w:val="Titolo2"/>
      </w:pPr>
      <w:bookmarkStart w:id="77" w:name="_Toc124266227"/>
      <w:r w:rsidRPr="00CC00D4">
        <w:t>2.2 Sanzioni</w:t>
      </w:r>
      <w:bookmarkEnd w:id="75"/>
      <w:bookmarkEnd w:id="76"/>
      <w:bookmarkEnd w:id="77"/>
    </w:p>
    <w:p w14:paraId="64BA5D8D" w14:textId="77777777" w:rsidR="002558B3" w:rsidRPr="00CC00D4" w:rsidRDefault="002558B3"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Come in parte anticipato l’omessa segnalazione delle prestazioni rese dai lavoratori autonomi occasionali comporta l’applicazione di una sanzione amministrativa “</w:t>
      </w:r>
      <w:r w:rsidRPr="00CC00D4">
        <w:rPr>
          <w:rFonts w:ascii="Tahoma" w:hAnsi="Tahoma" w:cs="Tahoma"/>
          <w:bCs/>
          <w:i/>
          <w:kern w:val="0"/>
          <w:sz w:val="20"/>
          <w:szCs w:val="20"/>
        </w:rPr>
        <w:t xml:space="preserve">da euro 500 a euro 2.500 in relazione a ciascun </w:t>
      </w:r>
      <w:r w:rsidRPr="00CC00D4">
        <w:rPr>
          <w:rFonts w:ascii="Tahoma" w:hAnsi="Tahoma" w:cs="Tahoma"/>
          <w:bCs/>
          <w:i/>
          <w:kern w:val="0"/>
          <w:sz w:val="20"/>
          <w:szCs w:val="20"/>
        </w:rPr>
        <w:lastRenderedPageBreak/>
        <w:t>lavoratore autonomo occasionale per cui è stata omessa o ritardata la comunicazione</w:t>
      </w:r>
      <w:r w:rsidRPr="00CC00D4">
        <w:rPr>
          <w:rFonts w:ascii="Tahoma" w:hAnsi="Tahoma" w:cs="Tahoma"/>
          <w:bCs/>
          <w:kern w:val="0"/>
          <w:sz w:val="20"/>
          <w:szCs w:val="20"/>
        </w:rPr>
        <w:t>”.</w:t>
      </w:r>
      <w:r w:rsidR="00CB351E" w:rsidRPr="00CC00D4">
        <w:rPr>
          <w:rFonts w:ascii="Tahoma" w:hAnsi="Tahoma" w:cs="Tahoma"/>
          <w:bCs/>
          <w:kern w:val="0"/>
          <w:sz w:val="20"/>
          <w:szCs w:val="20"/>
        </w:rPr>
        <w:t xml:space="preserve"> </w:t>
      </w:r>
    </w:p>
    <w:p w14:paraId="5CA3DF09" w14:textId="77777777" w:rsidR="00CB351E" w:rsidRPr="00CC00D4" w:rsidRDefault="00CB351E" w:rsidP="00CB351E">
      <w:pPr>
        <w:suppressAutoHyphens w:val="0"/>
        <w:autoSpaceDE w:val="0"/>
        <w:autoSpaceDN w:val="0"/>
        <w:adjustRightInd w:val="0"/>
        <w:rPr>
          <w:rFonts w:cs="Tahoma"/>
          <w:color w:val="000000"/>
          <w:szCs w:val="20"/>
          <w:lang w:eastAsia="it-IT"/>
        </w:rPr>
      </w:pPr>
      <w:r w:rsidRPr="00CC00D4">
        <w:rPr>
          <w:rFonts w:cs="Tahoma"/>
          <w:color w:val="000000"/>
          <w:szCs w:val="20"/>
          <w:lang w:eastAsia="it-IT"/>
        </w:rPr>
        <w:t xml:space="preserve">Non si considera omessa, chiarisce l'INL, la comunicazione che contiene errori tali da non compromettere la possibilità di individuare le parti del rapporto, la data di inizio della prestazione o il luogo di svolgimento della stessa. </w:t>
      </w:r>
    </w:p>
    <w:p w14:paraId="15B03CEE" w14:textId="77777777" w:rsidR="00CB351E" w:rsidRPr="00CC00D4" w:rsidRDefault="00CB351E" w:rsidP="00CB351E">
      <w:pPr>
        <w:suppressAutoHyphens w:val="0"/>
        <w:autoSpaceDE w:val="0"/>
        <w:autoSpaceDN w:val="0"/>
        <w:adjustRightInd w:val="0"/>
        <w:rPr>
          <w:rFonts w:cs="Tahoma"/>
          <w:color w:val="000000"/>
          <w:szCs w:val="20"/>
          <w:lang w:eastAsia="it-IT"/>
        </w:rPr>
      </w:pPr>
      <w:r w:rsidRPr="00CC00D4">
        <w:rPr>
          <w:rFonts w:cs="Tahoma"/>
          <w:color w:val="000000"/>
          <w:szCs w:val="20"/>
          <w:lang w:eastAsia="it-IT"/>
        </w:rPr>
        <w:t>Sempre l'Ispettorato rende noto che le sanzioni "</w:t>
      </w:r>
      <w:r w:rsidRPr="00CC00D4">
        <w:rPr>
          <w:rFonts w:cs="Tahoma"/>
          <w:i/>
          <w:iCs/>
          <w:color w:val="000000"/>
          <w:szCs w:val="20"/>
          <w:lang w:eastAsia="it-IT"/>
        </w:rPr>
        <w:t>potranno essere più di una laddove gli obblighi comunicazionali riguardino più lavoratori</w:t>
      </w:r>
      <w:r w:rsidRPr="00CC00D4">
        <w:rPr>
          <w:rFonts w:cs="Tahoma"/>
          <w:color w:val="000000"/>
          <w:szCs w:val="20"/>
          <w:lang w:eastAsia="it-IT"/>
        </w:rPr>
        <w:t xml:space="preserve">". </w:t>
      </w:r>
    </w:p>
    <w:p w14:paraId="130D58E9" w14:textId="0897491D" w:rsidR="00CB351E" w:rsidRPr="00CC00D4" w:rsidRDefault="00CB351E" w:rsidP="009E4A78">
      <w:pPr>
        <w:suppressAutoHyphens w:val="0"/>
        <w:autoSpaceDE w:val="0"/>
        <w:autoSpaceDN w:val="0"/>
        <w:adjustRightInd w:val="0"/>
        <w:rPr>
          <w:rFonts w:cs="Tahoma"/>
          <w:szCs w:val="20"/>
          <w:lang w:eastAsia="it-IT"/>
        </w:rPr>
      </w:pPr>
      <w:r w:rsidRPr="00CC00D4">
        <w:rPr>
          <w:rFonts w:cs="Tahoma"/>
          <w:color w:val="000000"/>
          <w:szCs w:val="20"/>
          <w:lang w:eastAsia="it-IT"/>
        </w:rPr>
        <w:t xml:space="preserve">È altresì punibile il committente che non effettua una nuova comunicazione nel caso in cui l'incarico si protragga oltre il termine indicato nella segnalazione precedente. </w:t>
      </w:r>
    </w:p>
    <w:p w14:paraId="05B2B7AC" w14:textId="77777777" w:rsidR="00634069" w:rsidRPr="00CC00D4" w:rsidRDefault="00634069" w:rsidP="009E4A78">
      <w:pPr>
        <w:pStyle w:val="Titolo2"/>
      </w:pPr>
      <w:bookmarkStart w:id="78" w:name="_Toc92386461"/>
      <w:bookmarkStart w:id="79" w:name="__RefHeading__4390_1479815270"/>
    </w:p>
    <w:p w14:paraId="0218AC9A" w14:textId="5E267DBE" w:rsidR="002558B3" w:rsidRPr="00CC00D4" w:rsidRDefault="002558B3" w:rsidP="009E4A78">
      <w:pPr>
        <w:pStyle w:val="Titolo2"/>
      </w:pPr>
      <w:bookmarkStart w:id="80" w:name="_Toc124266228"/>
      <w:r w:rsidRPr="00CC00D4">
        <w:t>2.3 Sospensione</w:t>
      </w:r>
      <w:bookmarkEnd w:id="78"/>
      <w:bookmarkEnd w:id="79"/>
      <w:bookmarkEnd w:id="80"/>
    </w:p>
    <w:p w14:paraId="07A24E24" w14:textId="5F9FA728"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Sempre nell’ambito delle modifiche operate dal </w:t>
      </w:r>
      <w:r w:rsidR="009E4A78" w:rsidRPr="00CC00D4">
        <w:rPr>
          <w:rFonts w:ascii="Tahoma" w:hAnsi="Tahoma" w:cs="Tahoma"/>
          <w:bCs/>
          <w:kern w:val="0"/>
          <w:sz w:val="20"/>
          <w:szCs w:val="20"/>
        </w:rPr>
        <w:t>Decreto-legge</w:t>
      </w:r>
      <w:r w:rsidRPr="00CC00D4">
        <w:rPr>
          <w:rFonts w:ascii="Tahoma" w:hAnsi="Tahoma" w:cs="Tahoma"/>
          <w:bCs/>
          <w:kern w:val="0"/>
          <w:sz w:val="20"/>
          <w:szCs w:val="20"/>
        </w:rPr>
        <w:t xml:space="preserve"> 21 ottobre 2021 numero 146 all’articolo 14 del Testo unico in materia di tutela della salute e della sicurezza nei luoghi di lavoro, si segnala l’inasprimento delle ipotesi in cui l’Ispettorato può sospendere l’attività imprenditoriale.</w:t>
      </w:r>
    </w:p>
    <w:p w14:paraId="789C656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nuovo testo normativo si prevede che “</w:t>
      </w:r>
      <w:r w:rsidRPr="00CC00D4">
        <w:rPr>
          <w:rFonts w:ascii="Tahoma" w:hAnsi="Tahoma" w:cs="Tahoma"/>
          <w:bCs/>
          <w:i/>
          <w:iCs/>
          <w:kern w:val="0"/>
          <w:sz w:val="20"/>
          <w:szCs w:val="20"/>
        </w:rPr>
        <w:t>al fine di far cessare il pericolo per la salute e la sicurezza dei lavoratori, nonché di contrastare il lavoro irregolare</w:t>
      </w:r>
      <w:r w:rsidRPr="00CC00D4">
        <w:rPr>
          <w:rFonts w:ascii="Tahoma" w:hAnsi="Tahoma" w:cs="Tahoma"/>
          <w:bCs/>
          <w:kern w:val="0"/>
          <w:sz w:val="20"/>
          <w:szCs w:val="20"/>
        </w:rPr>
        <w:t>”, l’Ispettorato nazionale del lavoro (INL) “</w:t>
      </w:r>
      <w:r w:rsidRPr="00CC00D4">
        <w:rPr>
          <w:rFonts w:ascii="Tahoma" w:hAnsi="Tahoma" w:cs="Tahoma"/>
          <w:bCs/>
          <w:i/>
          <w:iCs/>
          <w:kern w:val="0"/>
          <w:sz w:val="20"/>
          <w:szCs w:val="20"/>
        </w:rPr>
        <w:t>adotta un provvedimento di sospensione</w:t>
      </w:r>
      <w:r w:rsidRPr="00CC00D4">
        <w:rPr>
          <w:rFonts w:ascii="Tahoma" w:hAnsi="Tahoma" w:cs="Tahoma"/>
          <w:bCs/>
          <w:kern w:val="0"/>
          <w:sz w:val="20"/>
          <w:szCs w:val="20"/>
        </w:rPr>
        <w:t>” se riscontra che, in alternativa:</w:t>
      </w:r>
    </w:p>
    <w:p w14:paraId="22EB7608" w14:textId="77777777" w:rsidR="002558B3" w:rsidRPr="00CC00D4" w:rsidRDefault="002558B3">
      <w:pPr>
        <w:pStyle w:val="Paragrafoelenco"/>
        <w:numPr>
          <w:ilvl w:val="0"/>
          <w:numId w:val="76"/>
        </w:numPr>
        <w:autoSpaceDN w:val="0"/>
        <w:ind w:left="709" w:hanging="357"/>
        <w:contextualSpacing/>
        <w:textAlignment w:val="baseline"/>
        <w:rPr>
          <w:rFonts w:cs="Tahoma"/>
          <w:szCs w:val="20"/>
        </w:rPr>
      </w:pPr>
      <w:r w:rsidRPr="00CC00D4">
        <w:rPr>
          <w:rFonts w:cs="Tahoma"/>
          <w:bCs/>
          <w:szCs w:val="20"/>
        </w:rPr>
        <w:t>Almeno il 10% dei lavoratori presenti sul luogo di lavoro risulti occupato senza preventiva comunicazione di instaurazione del rapporto di lavoro ovvero “</w:t>
      </w:r>
      <w:r w:rsidRPr="00CC00D4">
        <w:rPr>
          <w:rFonts w:cs="Tahoma"/>
          <w:bCs/>
          <w:i/>
          <w:iCs/>
          <w:szCs w:val="20"/>
        </w:rPr>
        <w:t>inquadrato come lavoratori autonomi occasionali in assenza delle condizioni richieste dalla normativa</w:t>
      </w:r>
      <w:r w:rsidRPr="00CC00D4">
        <w:rPr>
          <w:rFonts w:cs="Tahoma"/>
          <w:bCs/>
          <w:szCs w:val="20"/>
        </w:rPr>
        <w:t>”;</w:t>
      </w:r>
    </w:p>
    <w:p w14:paraId="3E1BD611" w14:textId="77777777" w:rsidR="002558B3" w:rsidRPr="00CC00D4" w:rsidRDefault="002558B3">
      <w:pPr>
        <w:pStyle w:val="Paragrafoelenco"/>
        <w:numPr>
          <w:ilvl w:val="0"/>
          <w:numId w:val="76"/>
        </w:numPr>
        <w:autoSpaceDN w:val="0"/>
        <w:ind w:left="709"/>
        <w:textAlignment w:val="baseline"/>
        <w:rPr>
          <w:rFonts w:cs="Tahoma"/>
          <w:szCs w:val="20"/>
        </w:rPr>
      </w:pPr>
      <w:r w:rsidRPr="00CC00D4">
        <w:rPr>
          <w:rFonts w:cs="Tahoma"/>
          <w:bCs/>
          <w:szCs w:val="20"/>
        </w:rPr>
        <w:t>In caso di “</w:t>
      </w:r>
      <w:r w:rsidRPr="00CC00D4">
        <w:rPr>
          <w:rFonts w:cs="Tahoma"/>
          <w:bCs/>
          <w:i/>
          <w:iCs/>
          <w:szCs w:val="20"/>
        </w:rPr>
        <w:t>gravi violazioni in materia di tutela della salute e della sicurezza del lavoro</w:t>
      </w:r>
      <w:r w:rsidRPr="00CC00D4">
        <w:rPr>
          <w:rFonts w:cs="Tahoma"/>
          <w:bCs/>
          <w:szCs w:val="20"/>
        </w:rPr>
        <w:t>”, indicate all’Allegato 1 del Testo unico.</w:t>
      </w:r>
    </w:p>
    <w:p w14:paraId="4CF016C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provvedimento di sospensione è disposto dall’Ispettorato nazionale del lavoro “</w:t>
      </w:r>
      <w:r w:rsidRPr="00CC00D4">
        <w:rPr>
          <w:rFonts w:ascii="Tahoma" w:hAnsi="Tahoma" w:cs="Tahoma"/>
          <w:bCs/>
          <w:i/>
          <w:iCs/>
          <w:kern w:val="0"/>
          <w:sz w:val="20"/>
          <w:szCs w:val="20"/>
        </w:rPr>
        <w:t>nell’immediatezza degli accertamenti nonché, su segnalazione di altre amministrazioni, entro sette giorni dal ricevimento del relativo verbale</w:t>
      </w:r>
      <w:r w:rsidRPr="00CC00D4">
        <w:rPr>
          <w:rFonts w:ascii="Tahoma" w:hAnsi="Tahoma" w:cs="Tahoma"/>
          <w:bCs/>
          <w:kern w:val="0"/>
          <w:sz w:val="20"/>
          <w:szCs w:val="20"/>
        </w:rPr>
        <w:t>” (articolo 14 comma 3) in relazione a:</w:t>
      </w:r>
    </w:p>
    <w:p w14:paraId="31A5B604" w14:textId="77777777" w:rsidR="002558B3" w:rsidRPr="00CC00D4" w:rsidRDefault="002558B3">
      <w:pPr>
        <w:pStyle w:val="Paragrafoelenco"/>
        <w:numPr>
          <w:ilvl w:val="0"/>
          <w:numId w:val="77"/>
        </w:numPr>
        <w:autoSpaceDN w:val="0"/>
        <w:ind w:left="709" w:hanging="357"/>
        <w:contextualSpacing/>
        <w:textAlignment w:val="baseline"/>
        <w:rPr>
          <w:rFonts w:cs="Tahoma"/>
          <w:szCs w:val="20"/>
        </w:rPr>
      </w:pPr>
      <w:r w:rsidRPr="00CC00D4">
        <w:rPr>
          <w:rFonts w:cs="Tahoma"/>
          <w:bCs/>
          <w:szCs w:val="20"/>
        </w:rPr>
        <w:t>Attività imprenditoriale interessata dalle violazioni, con eventuale riguardo alla singola unità produttiva o, nel caso dell’edilizia, all’attività prestata nel singolo cantiere;</w:t>
      </w:r>
    </w:p>
    <w:p w14:paraId="3D44915E" w14:textId="77777777" w:rsidR="002558B3" w:rsidRPr="00CC00D4" w:rsidRDefault="002558B3">
      <w:pPr>
        <w:pStyle w:val="Paragrafoelenco"/>
        <w:numPr>
          <w:ilvl w:val="0"/>
          <w:numId w:val="77"/>
        </w:numPr>
        <w:autoSpaceDN w:val="0"/>
        <w:ind w:left="709"/>
        <w:textAlignment w:val="baseline"/>
        <w:rPr>
          <w:rFonts w:cs="Tahoma"/>
          <w:szCs w:val="20"/>
        </w:rPr>
      </w:pPr>
      <w:r w:rsidRPr="00CC00D4">
        <w:rPr>
          <w:rFonts w:cs="Tahoma"/>
          <w:bCs/>
          <w:szCs w:val="20"/>
        </w:rPr>
        <w:t>Attività lavorativa prestata dai soggetti che non hanno ricevuto idonea formazione o addestramento ovvero che non sono stati dotati dei DPI contro le cadute dall’alto.</w:t>
      </w:r>
    </w:p>
    <w:p w14:paraId="0A899B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Oltre al provvedimento di sospensione, l’INL può adottare misure specifiche idonee a far cessare il pericolo </w:t>
      </w:r>
      <w:r w:rsidRPr="00CC00D4">
        <w:rPr>
          <w:rFonts w:ascii="Tahoma" w:hAnsi="Tahoma" w:cs="Tahoma"/>
          <w:bCs/>
          <w:kern w:val="0"/>
          <w:sz w:val="20"/>
          <w:szCs w:val="20"/>
        </w:rPr>
        <w:lastRenderedPageBreak/>
        <w:t>per la sicurezza e la salute dei lavoratori.</w:t>
      </w:r>
    </w:p>
    <w:p w14:paraId="5C2A69A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Ai sensi dell’articolo 14 comma 4 gli effetti della sospensione “</w:t>
      </w:r>
      <w:r w:rsidRPr="00CC00D4">
        <w:rPr>
          <w:rFonts w:ascii="Tahoma" w:hAnsi="Tahoma" w:cs="Tahoma"/>
          <w:bCs/>
          <w:i/>
          <w:iCs/>
          <w:kern w:val="0"/>
          <w:sz w:val="20"/>
          <w:szCs w:val="20"/>
        </w:rPr>
        <w:t>possono essere fatti decorrere dalle ore dodici del giorno lavorativo successivo ovvero dalla cessazione dell’attività lavorativa in corso che non può essere interrotta, salvo che non si riscontrino situazioni di pericolo imminente o di grave rischio per la salute dei lavoratori o dei terzi o per la pubblica incolumità</w:t>
      </w:r>
      <w:r w:rsidRPr="00CC00D4">
        <w:rPr>
          <w:rFonts w:ascii="Tahoma" w:hAnsi="Tahoma" w:cs="Tahoma"/>
          <w:bCs/>
          <w:kern w:val="0"/>
          <w:sz w:val="20"/>
          <w:szCs w:val="20"/>
        </w:rPr>
        <w:t>”.</w:t>
      </w:r>
    </w:p>
    <w:p w14:paraId="6223FA4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Eccezion fatta per le esigenze di:</w:t>
      </w:r>
    </w:p>
    <w:p w14:paraId="1944F14D" w14:textId="77777777" w:rsidR="002558B3" w:rsidRPr="00CC00D4" w:rsidRDefault="002558B3">
      <w:pPr>
        <w:pStyle w:val="Paragrafoelenco"/>
        <w:numPr>
          <w:ilvl w:val="0"/>
          <w:numId w:val="71"/>
        </w:numPr>
        <w:autoSpaceDN w:val="0"/>
        <w:ind w:left="709" w:hanging="357"/>
        <w:contextualSpacing/>
        <w:textAlignment w:val="baseline"/>
        <w:rPr>
          <w:rFonts w:cs="Tahoma"/>
          <w:szCs w:val="20"/>
        </w:rPr>
      </w:pPr>
      <w:r w:rsidRPr="00CC00D4">
        <w:rPr>
          <w:rFonts w:cs="Tahoma"/>
          <w:bCs/>
          <w:szCs w:val="20"/>
        </w:rPr>
        <w:t>Di evitare una situazione di maggior pericolo per l’incolumità dei lavoratori dell’impresa o di altre realtà che operano nel medesimo cantiere;</w:t>
      </w:r>
    </w:p>
    <w:p w14:paraId="04E9CE59" w14:textId="77777777" w:rsidR="002558B3" w:rsidRPr="00CC00D4" w:rsidRDefault="002558B3">
      <w:pPr>
        <w:pStyle w:val="Paragrafoelenco"/>
        <w:numPr>
          <w:ilvl w:val="0"/>
          <w:numId w:val="71"/>
        </w:numPr>
        <w:autoSpaceDN w:val="0"/>
        <w:ind w:left="709" w:hanging="357"/>
        <w:contextualSpacing/>
        <w:textAlignment w:val="baseline"/>
        <w:rPr>
          <w:rFonts w:cs="Tahoma"/>
          <w:szCs w:val="20"/>
        </w:rPr>
      </w:pPr>
      <w:r w:rsidRPr="00CC00D4">
        <w:rPr>
          <w:rFonts w:cs="Tahoma"/>
          <w:bCs/>
          <w:szCs w:val="20"/>
        </w:rPr>
        <w:t>Garantire il regolare funzionamento di un servizio pubblico (quale, ad esempio, trasporto e fornitura di energia elettrica, acqua e gas);</w:t>
      </w:r>
    </w:p>
    <w:p w14:paraId="189DE8BA" w14:textId="77777777" w:rsidR="002558B3" w:rsidRPr="00CC00D4" w:rsidRDefault="002558B3">
      <w:pPr>
        <w:pStyle w:val="Paragrafoelenco"/>
        <w:numPr>
          <w:ilvl w:val="0"/>
          <w:numId w:val="71"/>
        </w:numPr>
        <w:autoSpaceDN w:val="0"/>
        <w:ind w:left="709"/>
        <w:textAlignment w:val="baseline"/>
        <w:rPr>
          <w:rFonts w:cs="Tahoma"/>
          <w:szCs w:val="20"/>
        </w:rPr>
      </w:pPr>
      <w:r w:rsidRPr="00CC00D4">
        <w:rPr>
          <w:rFonts w:cs="Tahoma"/>
          <w:bCs/>
          <w:szCs w:val="20"/>
        </w:rPr>
        <w:t>Scongiurare un grave danno alle attrezzature ed agli impianti;</w:t>
      </w:r>
    </w:p>
    <w:p w14:paraId="7CF5EA7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provvedimento dell’INL è adottato in presenza dei presupposti di legge ed è efficace sino a che il datore di lavoro non adempie all’obbligo.</w:t>
      </w:r>
    </w:p>
    <w:p w14:paraId="0131526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Coloro che non ottemperano al provvedimento di sospensione (articolo 14 comma 15) sono puniti:</w:t>
      </w:r>
    </w:p>
    <w:p w14:paraId="5C329AC5" w14:textId="77777777" w:rsidR="002558B3" w:rsidRPr="00CC00D4" w:rsidRDefault="002558B3">
      <w:pPr>
        <w:pStyle w:val="Paragrafoelenco"/>
        <w:numPr>
          <w:ilvl w:val="0"/>
          <w:numId w:val="72"/>
        </w:numPr>
        <w:autoSpaceDN w:val="0"/>
        <w:ind w:left="709" w:hanging="357"/>
        <w:contextualSpacing/>
        <w:textAlignment w:val="baseline"/>
        <w:rPr>
          <w:rFonts w:cs="Tahoma"/>
          <w:szCs w:val="20"/>
        </w:rPr>
      </w:pPr>
      <w:r w:rsidRPr="00CC00D4">
        <w:rPr>
          <w:rFonts w:cs="Tahoma"/>
          <w:bCs/>
          <w:szCs w:val="20"/>
        </w:rPr>
        <w:t>Con l’arresto fino a sei mesi nelle ipotesi di sospensione per le violazioni in materia di tutela della salute e della sicurezza sul lavoro;</w:t>
      </w:r>
    </w:p>
    <w:p w14:paraId="6D1B50F8" w14:textId="4A4D6359" w:rsidR="002558B3" w:rsidRPr="00CC00D4" w:rsidRDefault="002558B3" w:rsidP="002558B3">
      <w:pPr>
        <w:pStyle w:val="Paragrafoelenco"/>
        <w:numPr>
          <w:ilvl w:val="0"/>
          <w:numId w:val="72"/>
        </w:numPr>
        <w:autoSpaceDN w:val="0"/>
        <w:ind w:left="709"/>
        <w:textAlignment w:val="baseline"/>
        <w:rPr>
          <w:rFonts w:cs="Tahoma"/>
          <w:szCs w:val="20"/>
        </w:rPr>
      </w:pPr>
      <w:r w:rsidRPr="00CC00D4">
        <w:rPr>
          <w:rFonts w:cs="Tahoma"/>
          <w:bCs/>
          <w:szCs w:val="20"/>
        </w:rPr>
        <w:t>Con l’arresto da tre a sei mesi o con l’ammenda da 2.500 a 6.400 euro nelle ipotesi di sospensione per lavoro irregolare.</w:t>
      </w:r>
    </w:p>
    <w:p w14:paraId="1F580C85" w14:textId="77777777" w:rsidR="00634069" w:rsidRPr="00CC00D4" w:rsidRDefault="00634069" w:rsidP="009E4A78">
      <w:pPr>
        <w:pStyle w:val="Titolo2"/>
      </w:pPr>
      <w:bookmarkStart w:id="81" w:name="__RefHeading__4392_1479815270"/>
      <w:bookmarkStart w:id="82" w:name="_Toc92386462"/>
    </w:p>
    <w:p w14:paraId="4BFE320E" w14:textId="343CE633" w:rsidR="002558B3" w:rsidRPr="00CC00D4" w:rsidRDefault="002558B3" w:rsidP="009E4A78">
      <w:pPr>
        <w:pStyle w:val="Titolo2"/>
      </w:pPr>
      <w:bookmarkStart w:id="83" w:name="_Toc124266229"/>
      <w:r w:rsidRPr="00CC00D4">
        <w:t>2.4 Organi competenti</w:t>
      </w:r>
      <w:bookmarkEnd w:id="81"/>
      <w:bookmarkEnd w:id="82"/>
      <w:bookmarkEnd w:id="83"/>
    </w:p>
    <w:p w14:paraId="71D3159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potere di sospendere l’attività imprenditoriale spetta all’Ispettorato nazionale del lavoro ovvero, in alternativa:</w:t>
      </w:r>
    </w:p>
    <w:p w14:paraId="49EFCE71" w14:textId="77777777" w:rsidR="002558B3" w:rsidRPr="00CC00D4" w:rsidRDefault="002558B3">
      <w:pPr>
        <w:pStyle w:val="Paragrafoelenco"/>
        <w:numPr>
          <w:ilvl w:val="0"/>
          <w:numId w:val="73"/>
        </w:numPr>
        <w:autoSpaceDN w:val="0"/>
        <w:ind w:left="709" w:hanging="357"/>
        <w:contextualSpacing/>
        <w:textAlignment w:val="baseline"/>
        <w:rPr>
          <w:rFonts w:cs="Tahoma"/>
          <w:szCs w:val="20"/>
        </w:rPr>
      </w:pPr>
      <w:r w:rsidRPr="00CC00D4">
        <w:rPr>
          <w:rFonts w:cs="Tahoma"/>
          <w:bCs/>
          <w:szCs w:val="20"/>
        </w:rPr>
        <w:t>Servizi ispettivi delle Aziende Sanitarie Locali (ASL) nell’ambito degli accertamenti in materia di tutela della salute e sicurezza del lavoro;</w:t>
      </w:r>
    </w:p>
    <w:p w14:paraId="0FCFB2AD" w14:textId="77777777" w:rsidR="002558B3" w:rsidRPr="00CC00D4" w:rsidRDefault="002558B3">
      <w:pPr>
        <w:pStyle w:val="Paragrafoelenco"/>
        <w:numPr>
          <w:ilvl w:val="0"/>
          <w:numId w:val="73"/>
        </w:numPr>
        <w:autoSpaceDN w:val="0"/>
        <w:ind w:left="709"/>
        <w:textAlignment w:val="baseline"/>
        <w:rPr>
          <w:rFonts w:cs="Tahoma"/>
          <w:szCs w:val="20"/>
        </w:rPr>
      </w:pPr>
      <w:r w:rsidRPr="00CC00D4">
        <w:rPr>
          <w:rFonts w:cs="Tahoma"/>
          <w:bCs/>
          <w:szCs w:val="20"/>
        </w:rPr>
        <w:t>Comando provinciale dei vigili del fuoco, limitatamente ai provvedimenti adottati in materia di prevenzione incendi.</w:t>
      </w:r>
    </w:p>
    <w:p w14:paraId="4E41A723" w14:textId="77777777" w:rsidR="00634069" w:rsidRPr="00CC00D4" w:rsidRDefault="00634069" w:rsidP="009E4A78">
      <w:pPr>
        <w:pStyle w:val="Titolo2"/>
      </w:pPr>
      <w:bookmarkStart w:id="84" w:name="__RefHeading__4394_1479815270"/>
      <w:bookmarkStart w:id="85" w:name="_Toc92386463"/>
    </w:p>
    <w:p w14:paraId="23B72947" w14:textId="77777777" w:rsidR="00634069" w:rsidRPr="00CC00D4" w:rsidRDefault="00634069">
      <w:pPr>
        <w:suppressAutoHyphens w:val="0"/>
        <w:spacing w:after="0" w:line="240" w:lineRule="auto"/>
        <w:jc w:val="left"/>
        <w:rPr>
          <w:rFonts w:cs="Tahoma"/>
          <w:b/>
          <w:bCs/>
          <w:color w:val="000000"/>
          <w:sz w:val="22"/>
          <w:u w:val="single"/>
        </w:rPr>
      </w:pPr>
      <w:r w:rsidRPr="00CC00D4">
        <w:br w:type="page"/>
      </w:r>
    </w:p>
    <w:p w14:paraId="40DFD506" w14:textId="47B5C79A" w:rsidR="002558B3" w:rsidRPr="00CC00D4" w:rsidRDefault="002558B3" w:rsidP="009E4A78">
      <w:pPr>
        <w:pStyle w:val="Titolo2"/>
      </w:pPr>
      <w:bookmarkStart w:id="86" w:name="_Toc124266230"/>
      <w:r w:rsidRPr="00CC00D4">
        <w:lastRenderedPageBreak/>
        <w:t>2.5 Effetti della sospensione</w:t>
      </w:r>
      <w:bookmarkEnd w:id="84"/>
      <w:bookmarkEnd w:id="85"/>
      <w:bookmarkEnd w:id="86"/>
    </w:p>
    <w:p w14:paraId="65FC2B9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l’intero periodo oggetto di sospensione il datore di lavoro è comunque tenuto a:</w:t>
      </w:r>
    </w:p>
    <w:p w14:paraId="1620DC42" w14:textId="77777777" w:rsidR="002558B3" w:rsidRPr="00CC00D4" w:rsidRDefault="002558B3">
      <w:pPr>
        <w:pStyle w:val="Paragrafoelenco"/>
        <w:numPr>
          <w:ilvl w:val="0"/>
          <w:numId w:val="74"/>
        </w:numPr>
        <w:autoSpaceDN w:val="0"/>
        <w:ind w:left="709" w:hanging="357"/>
        <w:contextualSpacing/>
        <w:textAlignment w:val="baseline"/>
        <w:rPr>
          <w:rFonts w:cs="Tahoma"/>
          <w:szCs w:val="20"/>
        </w:rPr>
      </w:pPr>
      <w:r w:rsidRPr="00CC00D4">
        <w:rPr>
          <w:rFonts w:cs="Tahoma"/>
          <w:bCs/>
          <w:szCs w:val="20"/>
        </w:rPr>
        <w:t>Riconoscere la retribuzione;</w:t>
      </w:r>
    </w:p>
    <w:p w14:paraId="05AE7D63" w14:textId="77777777" w:rsidR="002558B3" w:rsidRPr="00CC00D4" w:rsidRDefault="002558B3">
      <w:pPr>
        <w:pStyle w:val="Paragrafoelenco"/>
        <w:numPr>
          <w:ilvl w:val="0"/>
          <w:numId w:val="74"/>
        </w:numPr>
        <w:autoSpaceDN w:val="0"/>
        <w:ind w:left="709"/>
        <w:textAlignment w:val="baseline"/>
        <w:rPr>
          <w:rFonts w:cs="Tahoma"/>
          <w:szCs w:val="20"/>
        </w:rPr>
      </w:pPr>
      <w:r w:rsidRPr="00CC00D4">
        <w:rPr>
          <w:rFonts w:cs="Tahoma"/>
          <w:bCs/>
          <w:szCs w:val="20"/>
        </w:rPr>
        <w:t>Versare i contributi;</w:t>
      </w:r>
    </w:p>
    <w:p w14:paraId="120CF54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con riferimento ai lavoratori interessati.</w:t>
      </w:r>
    </w:p>
    <w:p w14:paraId="162AE5D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provvedimento di sospensione è altresì segnalato all’Autorità nazionale anticorruzione (ANAC) ed al Ministero delle Infrastrutture per gli aspetti di relativa competenza.</w:t>
      </w:r>
    </w:p>
    <w:p w14:paraId="6A4D2783" w14:textId="1FBCAB44"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Viene altresì inibito all’azienda nel suo complesso di contrarre con la Pubblica Amministrazione e con le stazioni appaltanti.</w:t>
      </w:r>
    </w:p>
    <w:p w14:paraId="5FC67C75" w14:textId="77777777" w:rsidR="00634069" w:rsidRPr="00CC00D4" w:rsidRDefault="00634069" w:rsidP="009E4A78">
      <w:pPr>
        <w:pStyle w:val="Titolo2"/>
      </w:pPr>
      <w:bookmarkStart w:id="87" w:name="__RefHeading__4396_1479815270"/>
      <w:bookmarkStart w:id="88" w:name="_Toc92386464"/>
    </w:p>
    <w:p w14:paraId="2CF1ABFA" w14:textId="0FE50391" w:rsidR="002558B3" w:rsidRPr="00CC00D4" w:rsidRDefault="002558B3" w:rsidP="009E4A78">
      <w:pPr>
        <w:pStyle w:val="Titolo2"/>
      </w:pPr>
      <w:bookmarkStart w:id="89" w:name="_Toc124266231"/>
      <w:r w:rsidRPr="00CC00D4">
        <w:t>2.6 Revoca</w:t>
      </w:r>
      <w:bookmarkEnd w:id="87"/>
      <w:bookmarkEnd w:id="88"/>
      <w:bookmarkEnd w:id="89"/>
    </w:p>
    <w:p w14:paraId="4E5F521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provvedimento di sospensione (articolo 14 commi 9 e 10) è soggetto a revoca da parte di:</w:t>
      </w:r>
    </w:p>
    <w:p w14:paraId="39DC0B27" w14:textId="77777777" w:rsidR="002558B3" w:rsidRPr="00CC00D4" w:rsidRDefault="002558B3">
      <w:pPr>
        <w:pStyle w:val="Paragrafoelenco"/>
        <w:numPr>
          <w:ilvl w:val="0"/>
          <w:numId w:val="75"/>
        </w:numPr>
        <w:autoSpaceDN w:val="0"/>
        <w:ind w:left="709" w:hanging="357"/>
        <w:contextualSpacing/>
        <w:textAlignment w:val="baseline"/>
        <w:rPr>
          <w:rFonts w:cs="Tahoma"/>
          <w:szCs w:val="20"/>
        </w:rPr>
      </w:pPr>
      <w:r w:rsidRPr="00CC00D4">
        <w:rPr>
          <w:rFonts w:cs="Tahoma"/>
          <w:bCs/>
          <w:szCs w:val="20"/>
        </w:rPr>
        <w:t>Personale ispettivo che l’ha adottato;</w:t>
      </w:r>
    </w:p>
    <w:p w14:paraId="49A49AC1" w14:textId="77777777" w:rsidR="002558B3" w:rsidRPr="00CC00D4" w:rsidRDefault="002558B3">
      <w:pPr>
        <w:pStyle w:val="Paragrafoelenco"/>
        <w:numPr>
          <w:ilvl w:val="0"/>
          <w:numId w:val="75"/>
        </w:numPr>
        <w:autoSpaceDN w:val="0"/>
        <w:ind w:left="709" w:hanging="357"/>
        <w:contextualSpacing/>
        <w:textAlignment w:val="baseline"/>
        <w:rPr>
          <w:rFonts w:cs="Tahoma"/>
          <w:szCs w:val="20"/>
        </w:rPr>
      </w:pPr>
      <w:r w:rsidRPr="00CC00D4">
        <w:rPr>
          <w:rFonts w:cs="Tahoma"/>
          <w:bCs/>
          <w:szCs w:val="20"/>
        </w:rPr>
        <w:t>Altro personale ispettivo;</w:t>
      </w:r>
    </w:p>
    <w:p w14:paraId="4AD1B1CF" w14:textId="77777777" w:rsidR="002558B3" w:rsidRPr="00CC00D4" w:rsidRDefault="002558B3">
      <w:pPr>
        <w:pStyle w:val="Paragrafoelenco"/>
        <w:numPr>
          <w:ilvl w:val="0"/>
          <w:numId w:val="75"/>
        </w:numPr>
        <w:autoSpaceDN w:val="0"/>
        <w:ind w:left="709"/>
        <w:textAlignment w:val="baseline"/>
        <w:rPr>
          <w:rFonts w:cs="Tahoma"/>
          <w:szCs w:val="20"/>
        </w:rPr>
      </w:pPr>
      <w:r w:rsidRPr="00CC00D4">
        <w:rPr>
          <w:rFonts w:cs="Tahoma"/>
          <w:bCs/>
          <w:szCs w:val="20"/>
        </w:rPr>
        <w:t>Dirigente dell’ITL o suo delegato;</w:t>
      </w:r>
    </w:p>
    <w:p w14:paraId="699F27E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w:t>
      </w:r>
    </w:p>
    <w:p w14:paraId="19CB346C" w14:textId="77777777" w:rsidR="002558B3" w:rsidRPr="00CC00D4" w:rsidRDefault="002558B3">
      <w:pPr>
        <w:pStyle w:val="Paragrafoelenco"/>
        <w:numPr>
          <w:ilvl w:val="0"/>
          <w:numId w:val="78"/>
        </w:numPr>
        <w:autoSpaceDN w:val="0"/>
        <w:ind w:left="709" w:hanging="357"/>
        <w:contextualSpacing/>
        <w:textAlignment w:val="baseline"/>
        <w:rPr>
          <w:rFonts w:cs="Tahoma"/>
          <w:szCs w:val="20"/>
        </w:rPr>
      </w:pPr>
      <w:r w:rsidRPr="00CC00D4">
        <w:rPr>
          <w:rFonts w:cs="Tahoma"/>
          <w:bCs/>
          <w:szCs w:val="20"/>
        </w:rPr>
        <w:t>Regolarizzazione dei “</w:t>
      </w:r>
      <w:r w:rsidRPr="00CC00D4">
        <w:rPr>
          <w:rFonts w:cs="Tahoma"/>
          <w:bCs/>
          <w:i/>
          <w:iCs/>
          <w:szCs w:val="20"/>
        </w:rPr>
        <w:t>lavoratori non risultanti dalle scritture o da altra documentazione obbligatoria anche sotto il profilo degli adempimenti in materia di salute e sicurezza</w:t>
      </w:r>
      <w:r w:rsidRPr="00CC00D4">
        <w:rPr>
          <w:rFonts w:cs="Tahoma"/>
          <w:bCs/>
          <w:szCs w:val="20"/>
        </w:rPr>
        <w:t>”;</w:t>
      </w:r>
    </w:p>
    <w:p w14:paraId="23A6C2BE" w14:textId="77777777" w:rsidR="002558B3" w:rsidRPr="00CC00D4" w:rsidRDefault="002558B3">
      <w:pPr>
        <w:pStyle w:val="Paragrafoelenco"/>
        <w:numPr>
          <w:ilvl w:val="0"/>
          <w:numId w:val="78"/>
        </w:numPr>
        <w:autoSpaceDN w:val="0"/>
        <w:ind w:left="709" w:hanging="357"/>
        <w:contextualSpacing/>
        <w:textAlignment w:val="baseline"/>
        <w:rPr>
          <w:rFonts w:cs="Tahoma"/>
          <w:szCs w:val="20"/>
        </w:rPr>
      </w:pPr>
      <w:r w:rsidRPr="00CC00D4">
        <w:rPr>
          <w:rFonts w:cs="Tahoma"/>
          <w:bCs/>
          <w:szCs w:val="20"/>
        </w:rPr>
        <w:t>Accertamento del ripristino delle “</w:t>
      </w:r>
      <w:r w:rsidRPr="00CC00D4">
        <w:rPr>
          <w:rFonts w:cs="Tahoma"/>
          <w:bCs/>
          <w:i/>
          <w:iCs/>
          <w:szCs w:val="20"/>
        </w:rPr>
        <w:t>regolari condizioni di lavoro nelle ipotesi di violazioni della disciplina in materia di tutela della salute e della sicurezza sul lavoro</w:t>
      </w:r>
      <w:r w:rsidRPr="00CC00D4">
        <w:rPr>
          <w:rFonts w:cs="Tahoma"/>
          <w:bCs/>
          <w:szCs w:val="20"/>
        </w:rPr>
        <w:t>”;</w:t>
      </w:r>
    </w:p>
    <w:p w14:paraId="4F89ACA5" w14:textId="77777777" w:rsidR="002558B3" w:rsidRPr="00CC00D4" w:rsidRDefault="002558B3">
      <w:pPr>
        <w:pStyle w:val="Paragrafoelenco"/>
        <w:numPr>
          <w:ilvl w:val="0"/>
          <w:numId w:val="78"/>
        </w:numPr>
        <w:autoSpaceDN w:val="0"/>
        <w:ind w:left="709" w:hanging="357"/>
        <w:contextualSpacing/>
        <w:textAlignment w:val="baseline"/>
        <w:rPr>
          <w:rFonts w:cs="Tahoma"/>
          <w:szCs w:val="20"/>
        </w:rPr>
      </w:pPr>
      <w:r w:rsidRPr="00CC00D4">
        <w:rPr>
          <w:rFonts w:cs="Tahoma"/>
          <w:bCs/>
          <w:szCs w:val="20"/>
        </w:rPr>
        <w:t>Rimozione delle conseguenze pericolose delle violazioni nelle ipotesi di cui all’Allegato 1;</w:t>
      </w:r>
    </w:p>
    <w:p w14:paraId="6FB10391" w14:textId="77777777" w:rsidR="002558B3" w:rsidRPr="00CC00D4" w:rsidRDefault="002558B3">
      <w:pPr>
        <w:pStyle w:val="Paragrafoelenco"/>
        <w:numPr>
          <w:ilvl w:val="0"/>
          <w:numId w:val="78"/>
        </w:numPr>
        <w:autoSpaceDN w:val="0"/>
        <w:ind w:left="709" w:hanging="357"/>
        <w:contextualSpacing/>
        <w:textAlignment w:val="baseline"/>
        <w:rPr>
          <w:rFonts w:cs="Tahoma"/>
          <w:szCs w:val="20"/>
        </w:rPr>
      </w:pPr>
      <w:r w:rsidRPr="00CC00D4">
        <w:rPr>
          <w:rFonts w:cs="Tahoma"/>
          <w:bCs/>
          <w:szCs w:val="20"/>
        </w:rPr>
        <w:t>Nei casi di lavoro irregolare, pagamento di una “</w:t>
      </w:r>
      <w:r w:rsidRPr="00CC00D4">
        <w:rPr>
          <w:rFonts w:cs="Tahoma"/>
          <w:bCs/>
          <w:i/>
          <w:iCs/>
          <w:szCs w:val="20"/>
        </w:rPr>
        <w:t>somma aggiuntiva pari a 2.500 euro qualora siano impiegati fino a cinque lavoratori e pari a 5.000 euro qualora siano impiegati più di cinque lavoratori irregolari</w:t>
      </w:r>
      <w:r w:rsidRPr="00CC00D4">
        <w:rPr>
          <w:rFonts w:cs="Tahoma"/>
          <w:bCs/>
          <w:szCs w:val="20"/>
        </w:rPr>
        <w:t>”;</w:t>
      </w:r>
    </w:p>
    <w:p w14:paraId="74E2B268" w14:textId="77777777" w:rsidR="002558B3" w:rsidRPr="00CC00D4" w:rsidRDefault="002558B3">
      <w:pPr>
        <w:pStyle w:val="Paragrafoelenco"/>
        <w:numPr>
          <w:ilvl w:val="0"/>
          <w:numId w:val="78"/>
        </w:numPr>
        <w:autoSpaceDN w:val="0"/>
        <w:ind w:left="709"/>
        <w:textAlignment w:val="baseline"/>
        <w:rPr>
          <w:rFonts w:cs="Tahoma"/>
          <w:szCs w:val="20"/>
        </w:rPr>
      </w:pPr>
      <w:r w:rsidRPr="00CC00D4">
        <w:rPr>
          <w:rFonts w:cs="Tahoma"/>
          <w:bCs/>
          <w:szCs w:val="20"/>
        </w:rPr>
        <w:t>Nelle ipotesi di cui all’Allegato 1 pagamento di una “</w:t>
      </w:r>
      <w:r w:rsidRPr="00CC00D4">
        <w:rPr>
          <w:rFonts w:cs="Tahoma"/>
          <w:bCs/>
          <w:i/>
          <w:iCs/>
          <w:szCs w:val="20"/>
        </w:rPr>
        <w:t>somma aggiuntiva di importo pari a quanto indicato nello stesso Allegato I con riferimento a ciascuna fattispecie</w:t>
      </w:r>
      <w:r w:rsidRPr="00CC00D4">
        <w:rPr>
          <w:rFonts w:cs="Tahoma"/>
          <w:bCs/>
          <w:szCs w:val="20"/>
        </w:rPr>
        <w:t>”.</w:t>
      </w:r>
    </w:p>
    <w:p w14:paraId="37E32CC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somme aggiuntive sono raddoppiate qualora “</w:t>
      </w:r>
      <w:r w:rsidRPr="00CC00D4">
        <w:rPr>
          <w:rFonts w:ascii="Tahoma" w:hAnsi="Tahoma" w:cs="Tahoma"/>
          <w:bCs/>
          <w:i/>
          <w:iCs/>
          <w:kern w:val="0"/>
          <w:sz w:val="20"/>
          <w:szCs w:val="20"/>
        </w:rPr>
        <w:t>nei cinque anni precedenti alla adozione del provvedimento, la medesima impresa sia stata destinataria di un provvedimento di sospensione</w:t>
      </w:r>
      <w:r w:rsidRPr="00CC00D4">
        <w:rPr>
          <w:rFonts w:ascii="Tahoma" w:hAnsi="Tahoma" w:cs="Tahoma"/>
          <w:bCs/>
          <w:kern w:val="0"/>
          <w:sz w:val="20"/>
          <w:szCs w:val="20"/>
        </w:rPr>
        <w:t>”.</w:t>
      </w:r>
    </w:p>
    <w:p w14:paraId="601BD198" w14:textId="24031C6F"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lastRenderedPageBreak/>
        <w:t>Su istanza di parte (comma 11) è altresì possibile ottenere la revoca del provvedimento, fermo restando il rispetto delle condizioni sopra citate, dietro pagamento del “</w:t>
      </w:r>
      <w:r w:rsidRPr="00CC00D4">
        <w:rPr>
          <w:rFonts w:ascii="Tahoma" w:hAnsi="Tahoma" w:cs="Tahoma"/>
          <w:bCs/>
          <w:i/>
          <w:iCs/>
          <w:kern w:val="0"/>
          <w:sz w:val="20"/>
          <w:szCs w:val="20"/>
        </w:rPr>
        <w:t>venti per cento della somma aggiuntiva dovuta</w:t>
      </w:r>
      <w:r w:rsidRPr="00CC00D4">
        <w:rPr>
          <w:rFonts w:ascii="Tahoma" w:hAnsi="Tahoma" w:cs="Tahoma"/>
          <w:bCs/>
          <w:kern w:val="0"/>
          <w:sz w:val="20"/>
          <w:szCs w:val="20"/>
        </w:rPr>
        <w:t>”. La somma residua, maggiorata del 5%, è versata “</w:t>
      </w:r>
      <w:r w:rsidRPr="00CC00D4">
        <w:rPr>
          <w:rFonts w:ascii="Tahoma" w:hAnsi="Tahoma" w:cs="Tahoma"/>
          <w:bCs/>
          <w:i/>
          <w:iCs/>
          <w:kern w:val="0"/>
          <w:sz w:val="20"/>
          <w:szCs w:val="20"/>
        </w:rPr>
        <w:t>entro sei mesi dalla data di presentazione dell’istanza di revoca</w:t>
      </w:r>
      <w:r w:rsidRPr="00CC00D4">
        <w:rPr>
          <w:rFonts w:ascii="Tahoma" w:hAnsi="Tahoma" w:cs="Tahoma"/>
          <w:bCs/>
          <w:kern w:val="0"/>
          <w:sz w:val="20"/>
          <w:szCs w:val="20"/>
        </w:rPr>
        <w:t>”.</w:t>
      </w:r>
    </w:p>
    <w:p w14:paraId="3C31E82E" w14:textId="77777777" w:rsidR="00634069" w:rsidRPr="00CC00D4" w:rsidRDefault="00634069" w:rsidP="009E4A78">
      <w:pPr>
        <w:pStyle w:val="Titolo2"/>
      </w:pPr>
      <w:bookmarkStart w:id="90" w:name="__RefHeading__4398_1479815270"/>
      <w:bookmarkStart w:id="91" w:name="_Toc92386465"/>
    </w:p>
    <w:p w14:paraId="26449182" w14:textId="5CA189D7" w:rsidR="002558B3" w:rsidRPr="00CC00D4" w:rsidRDefault="002558B3" w:rsidP="009E4A78">
      <w:pPr>
        <w:pStyle w:val="Titolo2"/>
      </w:pPr>
      <w:bookmarkStart w:id="92" w:name="_Toc124266232"/>
      <w:r w:rsidRPr="00CC00D4">
        <w:t>2.7 Ricorso</w:t>
      </w:r>
      <w:bookmarkEnd w:id="90"/>
      <w:bookmarkEnd w:id="91"/>
      <w:bookmarkEnd w:id="92"/>
    </w:p>
    <w:p w14:paraId="176130A0" w14:textId="4AE6539A"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Contro i provvedimenti di sospensione (articolo 14 comma 14) adottati per l’impiego di lavoratori in nero è “</w:t>
      </w:r>
      <w:r w:rsidRPr="00CC00D4">
        <w:rPr>
          <w:rFonts w:ascii="Tahoma" w:hAnsi="Tahoma" w:cs="Tahoma"/>
          <w:bCs/>
          <w:i/>
          <w:iCs/>
          <w:kern w:val="0"/>
          <w:sz w:val="20"/>
          <w:szCs w:val="20"/>
        </w:rPr>
        <w:t>ammesso ricorso, entro 30 giorni, all’Ispettorato interregionale del lavoro territorialmente competente, il quale si pronuncia nel termine di 30 giorni dalla notifica del ricorso</w:t>
      </w:r>
      <w:r w:rsidRPr="00CC00D4">
        <w:rPr>
          <w:rFonts w:ascii="Tahoma" w:hAnsi="Tahoma" w:cs="Tahoma"/>
          <w:bCs/>
          <w:kern w:val="0"/>
          <w:sz w:val="20"/>
          <w:szCs w:val="20"/>
        </w:rPr>
        <w:t>”. In questo caso vale il silenzio assenso in quanto, decorso inutilmente il termine di 30 giorni dalla notifica del ricorso, il “</w:t>
      </w:r>
      <w:r w:rsidRPr="00CC00D4">
        <w:rPr>
          <w:rFonts w:ascii="Tahoma" w:hAnsi="Tahoma" w:cs="Tahoma"/>
          <w:bCs/>
          <w:i/>
          <w:iCs/>
          <w:kern w:val="0"/>
          <w:sz w:val="20"/>
          <w:szCs w:val="20"/>
        </w:rPr>
        <w:t>provvedimento di sospensione perde efficacia</w:t>
      </w:r>
      <w:r w:rsidRPr="00CC00D4">
        <w:rPr>
          <w:rFonts w:ascii="Tahoma" w:hAnsi="Tahoma" w:cs="Tahoma"/>
          <w:bCs/>
          <w:kern w:val="0"/>
          <w:sz w:val="20"/>
          <w:szCs w:val="20"/>
        </w:rPr>
        <w:t>”.</w:t>
      </w:r>
    </w:p>
    <w:p w14:paraId="10781DBD" w14:textId="77777777" w:rsidR="00634069" w:rsidRPr="00CC00D4" w:rsidRDefault="00634069" w:rsidP="009E4A78">
      <w:pPr>
        <w:pStyle w:val="Titolo2"/>
      </w:pPr>
      <w:bookmarkStart w:id="93" w:name="__RefHeading__4400_1479815270"/>
      <w:bookmarkStart w:id="94" w:name="_Toc92386466"/>
    </w:p>
    <w:p w14:paraId="06932339" w14:textId="61A4F5D7" w:rsidR="002558B3" w:rsidRPr="00CC00D4" w:rsidRDefault="002558B3" w:rsidP="009E4A78">
      <w:pPr>
        <w:pStyle w:val="Titolo2"/>
      </w:pPr>
      <w:bookmarkStart w:id="95" w:name="_Toc124266233"/>
      <w:r w:rsidRPr="00CC00D4">
        <w:t>2.8 Lavoratori irregolari</w:t>
      </w:r>
      <w:bookmarkEnd w:id="93"/>
      <w:bookmarkEnd w:id="94"/>
      <w:bookmarkEnd w:id="95"/>
    </w:p>
    <w:p w14:paraId="55BB04E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sospensione dell’attività imprenditoriale è disposta dall’INL nel caso in cui il numero dei lavoratori irregolari, presenti sul luogo di lavoro, è pari o superiore al 10% del totale (prima delle modiche operate dal Decreto legge numero 146 il limite era fissato al 20%).</w:t>
      </w:r>
    </w:p>
    <w:p w14:paraId="02B8829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considerati irregolari i soggetti per i quali:</w:t>
      </w:r>
    </w:p>
    <w:p w14:paraId="7B769ED0" w14:textId="77777777" w:rsidR="002558B3" w:rsidRPr="00CC00D4" w:rsidRDefault="002558B3">
      <w:pPr>
        <w:pStyle w:val="Paragrafoelenco"/>
        <w:numPr>
          <w:ilvl w:val="0"/>
          <w:numId w:val="80"/>
        </w:numPr>
        <w:autoSpaceDN w:val="0"/>
        <w:ind w:left="709" w:hanging="357"/>
        <w:contextualSpacing/>
        <w:textAlignment w:val="baseline"/>
        <w:rPr>
          <w:rFonts w:cs="Tahoma"/>
          <w:szCs w:val="20"/>
        </w:rPr>
      </w:pPr>
      <w:r w:rsidRPr="00CC00D4">
        <w:rPr>
          <w:rFonts w:cs="Tahoma"/>
          <w:bCs/>
          <w:szCs w:val="20"/>
        </w:rPr>
        <w:t>Non è stata inviata la comunicazione di assunzione al Ministero del Lavoro a mezzo modello UNILAV (si pensi a lavoratori dipendenti e collaboratori coordinati e continuativi);</w:t>
      </w:r>
    </w:p>
    <w:p w14:paraId="10B7881B" w14:textId="77777777" w:rsidR="002558B3" w:rsidRPr="00CC00D4" w:rsidRDefault="002558B3">
      <w:pPr>
        <w:pStyle w:val="Paragrafoelenco"/>
        <w:numPr>
          <w:ilvl w:val="0"/>
          <w:numId w:val="80"/>
        </w:numPr>
        <w:autoSpaceDN w:val="0"/>
        <w:ind w:left="709" w:hanging="357"/>
        <w:contextualSpacing/>
        <w:textAlignment w:val="baseline"/>
        <w:rPr>
          <w:rFonts w:cs="Tahoma"/>
          <w:szCs w:val="20"/>
        </w:rPr>
      </w:pPr>
      <w:r w:rsidRPr="00CC00D4">
        <w:rPr>
          <w:rFonts w:cs="Tahoma"/>
          <w:bCs/>
          <w:szCs w:val="20"/>
        </w:rPr>
        <w:t>Non è stata inviata la denuncia nominativa all’INAIL, qualora non sia obbligatoria la trasmissione del flusso UNILAV;</w:t>
      </w:r>
    </w:p>
    <w:p w14:paraId="6BED25A2" w14:textId="77777777" w:rsidR="002558B3" w:rsidRPr="00CC00D4" w:rsidRDefault="002558B3">
      <w:pPr>
        <w:pStyle w:val="Paragrafoelenco"/>
        <w:numPr>
          <w:ilvl w:val="0"/>
          <w:numId w:val="80"/>
        </w:numPr>
        <w:autoSpaceDN w:val="0"/>
        <w:ind w:left="709"/>
        <w:textAlignment w:val="baseline"/>
        <w:rPr>
          <w:rFonts w:cs="Tahoma"/>
          <w:szCs w:val="20"/>
        </w:rPr>
      </w:pPr>
      <w:r w:rsidRPr="00CC00D4">
        <w:rPr>
          <w:rFonts w:cs="Tahoma"/>
          <w:bCs/>
          <w:szCs w:val="20"/>
        </w:rPr>
        <w:t>Non si sia provveduto a formalizzare il rapporto, con riferimento a coloro che sono riconducibili alla nozione di lavoratore secondo la normativa in materia di sicurezza sul lavoro (sono compresi anche i soggetti che pur risultando dalla visura camerale come titolari di cariche societarie, svolgono attività lavorative a qualsiasi titolo).</w:t>
      </w:r>
    </w:p>
    <w:p w14:paraId="03C9B00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Ai fini del raggiungimento della soglia del 10% vengono altresì ricompresi i soggetti inquadrati come “</w:t>
      </w:r>
      <w:r w:rsidRPr="00CC00D4">
        <w:rPr>
          <w:rFonts w:ascii="Tahoma" w:hAnsi="Tahoma" w:cs="Tahoma"/>
          <w:bCs/>
          <w:i/>
          <w:iCs/>
          <w:kern w:val="0"/>
          <w:sz w:val="20"/>
          <w:szCs w:val="20"/>
        </w:rPr>
        <w:t>lavoratori autonomi occasionali in assenza delle condizioni richieste dalla normativa</w:t>
      </w:r>
      <w:r w:rsidRPr="00CC00D4">
        <w:rPr>
          <w:rFonts w:ascii="Tahoma" w:hAnsi="Tahoma" w:cs="Tahoma"/>
          <w:bCs/>
          <w:kern w:val="0"/>
          <w:sz w:val="20"/>
          <w:szCs w:val="20"/>
        </w:rPr>
        <w:t>”.</w:t>
      </w:r>
    </w:p>
    <w:p w14:paraId="6B73309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riferimento è ai lavoratori autonomi occasionali per i quali il committente non ha adempiuto al nuovo obbligo di comunicazione preventiva all’Ispettorato territoriale del lavoro, previsto sempre dal nuovo articolo 14 del Testo unico, a mezzo SMS o posta elettronica secondo le modalità definite in materia di lavoro intermittente.</w:t>
      </w:r>
    </w:p>
    <w:p w14:paraId="3D1C239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lastRenderedPageBreak/>
        <w:t>La percentuale del 10% dev’essere individuata rispetto al totale dei soggetti presenti sul luogo di lavoro al momento dell’accesso ispettivo, ottenuto sommando:</w:t>
      </w:r>
    </w:p>
    <w:p w14:paraId="7B8D3E53" w14:textId="77777777" w:rsidR="002558B3" w:rsidRPr="00CC00D4" w:rsidRDefault="002558B3">
      <w:pPr>
        <w:pStyle w:val="Paragrafoelenco"/>
        <w:numPr>
          <w:ilvl w:val="0"/>
          <w:numId w:val="79"/>
        </w:numPr>
        <w:autoSpaceDN w:val="0"/>
        <w:ind w:left="709" w:hanging="357"/>
        <w:contextualSpacing/>
        <w:textAlignment w:val="baseline"/>
        <w:rPr>
          <w:rFonts w:cs="Tahoma"/>
          <w:szCs w:val="20"/>
        </w:rPr>
      </w:pPr>
      <w:r w:rsidRPr="00CC00D4">
        <w:rPr>
          <w:rFonts w:cs="Tahoma"/>
          <w:bCs/>
          <w:szCs w:val="20"/>
        </w:rPr>
        <w:t>Lavoratori regolari;</w:t>
      </w:r>
    </w:p>
    <w:p w14:paraId="749CEF62" w14:textId="77777777" w:rsidR="002558B3" w:rsidRPr="00CC00D4" w:rsidRDefault="002558B3">
      <w:pPr>
        <w:pStyle w:val="Paragrafoelenco"/>
        <w:numPr>
          <w:ilvl w:val="0"/>
          <w:numId w:val="79"/>
        </w:numPr>
        <w:autoSpaceDN w:val="0"/>
        <w:ind w:left="709" w:hanging="357"/>
        <w:contextualSpacing/>
        <w:textAlignment w:val="baseline"/>
        <w:rPr>
          <w:rFonts w:cs="Tahoma"/>
          <w:szCs w:val="20"/>
        </w:rPr>
      </w:pPr>
      <w:r w:rsidRPr="00CC00D4">
        <w:rPr>
          <w:rFonts w:cs="Tahoma"/>
          <w:bCs/>
          <w:szCs w:val="20"/>
        </w:rPr>
        <w:t>Lavoratori irregolari;</w:t>
      </w:r>
    </w:p>
    <w:p w14:paraId="43987EE8" w14:textId="77777777" w:rsidR="002558B3" w:rsidRPr="00CC00D4" w:rsidRDefault="002558B3">
      <w:pPr>
        <w:pStyle w:val="Paragrafoelenco"/>
        <w:numPr>
          <w:ilvl w:val="0"/>
          <w:numId w:val="79"/>
        </w:numPr>
        <w:autoSpaceDN w:val="0"/>
        <w:ind w:left="709"/>
        <w:textAlignment w:val="baseline"/>
        <w:rPr>
          <w:rFonts w:cs="Tahoma"/>
          <w:szCs w:val="20"/>
        </w:rPr>
      </w:pPr>
      <w:r w:rsidRPr="00CC00D4">
        <w:rPr>
          <w:rFonts w:cs="Tahoma"/>
          <w:bCs/>
          <w:szCs w:val="20"/>
        </w:rPr>
        <w:t>Lavoratori autonomi occasionali per i quali non è stata effettuata la comunicazione preventiva.</w:t>
      </w:r>
    </w:p>
    <w:p w14:paraId="4C49714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Se l’ITL rileva in totale 10 lavoratori, di cui 3 irregolari, adotta il provvedimento di sospensione, dal momento che la percentuale è superiore al 10%, nello specifico (3/10) * 100 = 30%.</w:t>
      </w:r>
    </w:p>
    <w:p w14:paraId="388CB42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conteggio dei lavoratori complessivamente occupati in azienda i:</w:t>
      </w:r>
    </w:p>
    <w:p w14:paraId="08E8D8F9" w14:textId="77777777" w:rsidR="002558B3" w:rsidRPr="00CC00D4" w:rsidRDefault="002558B3">
      <w:pPr>
        <w:pStyle w:val="Paragrafoelenco"/>
        <w:numPr>
          <w:ilvl w:val="0"/>
          <w:numId w:val="81"/>
        </w:numPr>
        <w:autoSpaceDN w:val="0"/>
        <w:ind w:left="709" w:hanging="357"/>
        <w:contextualSpacing/>
        <w:textAlignment w:val="baseline"/>
        <w:rPr>
          <w:rFonts w:cs="Tahoma"/>
          <w:szCs w:val="20"/>
        </w:rPr>
      </w:pPr>
      <w:r w:rsidRPr="00CC00D4">
        <w:rPr>
          <w:rFonts w:cs="Tahoma"/>
          <w:bCs/>
          <w:szCs w:val="20"/>
        </w:rPr>
        <w:t>Soci lavoratori (non interessati dall’amministrazione o dalla gestione della società) devono essere computati;</w:t>
      </w:r>
    </w:p>
    <w:p w14:paraId="67D88BE4" w14:textId="77777777" w:rsidR="002558B3" w:rsidRPr="00CC00D4" w:rsidRDefault="002558B3">
      <w:pPr>
        <w:pStyle w:val="Paragrafoelenco"/>
        <w:numPr>
          <w:ilvl w:val="0"/>
          <w:numId w:val="81"/>
        </w:numPr>
        <w:autoSpaceDN w:val="0"/>
        <w:ind w:left="709"/>
        <w:textAlignment w:val="baseline"/>
        <w:rPr>
          <w:rFonts w:cs="Tahoma"/>
          <w:szCs w:val="20"/>
        </w:rPr>
      </w:pPr>
      <w:r w:rsidRPr="00CC00D4">
        <w:rPr>
          <w:rFonts w:cs="Tahoma"/>
          <w:bCs/>
          <w:szCs w:val="20"/>
        </w:rPr>
        <w:t>Soci amministratori, che prestano attività lavorativa in azienda, non devono essere computati.</w:t>
      </w:r>
    </w:p>
    <w:p w14:paraId="1534693E" w14:textId="01220B93"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Un caso particolare riguarda il lavoratore irregolare quale unico soggetto occupato in azienda (articolo 14 comma 4). In tal caso non si può disporre la sospensione dell’attività ma, al contrario, si procede all’allontanamento del lavoratore fino a quando il datore non ha regolarizzato la posizione.</w:t>
      </w:r>
    </w:p>
    <w:p w14:paraId="45A3E853" w14:textId="77777777" w:rsidR="00634069" w:rsidRPr="00CC00D4" w:rsidRDefault="00634069" w:rsidP="009E4A78">
      <w:pPr>
        <w:pStyle w:val="Titolo2"/>
      </w:pPr>
      <w:bookmarkStart w:id="96" w:name="__RefHeading__4402_1479815270"/>
      <w:bookmarkStart w:id="97" w:name="_Toc92386467"/>
    </w:p>
    <w:p w14:paraId="16B61A9C" w14:textId="44B74376" w:rsidR="002558B3" w:rsidRPr="00CC00D4" w:rsidRDefault="002558B3" w:rsidP="009E4A78">
      <w:pPr>
        <w:pStyle w:val="Titolo2"/>
      </w:pPr>
      <w:bookmarkStart w:id="98" w:name="_Toc124266234"/>
      <w:r w:rsidRPr="00CC00D4">
        <w:t>2.9 Gravi violazioni in materia di salute e sicurezza</w:t>
      </w:r>
      <w:bookmarkEnd w:id="96"/>
      <w:bookmarkEnd w:id="97"/>
      <w:bookmarkEnd w:id="98"/>
    </w:p>
    <w:p w14:paraId="6327972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Tra le gravi violazioni in materia di tutela della salute e della sicurezza sul lavoro, per le quali è disposta la sospensione dell’attività imprenditoriale, l’Allegato 1 del Testo unico include:</w:t>
      </w:r>
    </w:p>
    <w:p w14:paraId="00DEB420"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elaborazione del documento di valutazione dei rischi;</w:t>
      </w:r>
    </w:p>
    <w:p w14:paraId="7AB0D3E3"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elaborazione del Piano di Emergenza ed evacuazione;</w:t>
      </w:r>
    </w:p>
    <w:p w14:paraId="6CBDA85E"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formazione ed addestramento;</w:t>
      </w:r>
    </w:p>
    <w:p w14:paraId="42F12219"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costituzione del servizio di prevenzione e protezione e nomina del relativo responsabile;</w:t>
      </w:r>
    </w:p>
    <w:p w14:paraId="37B5EDFA"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elaborazione piano operativo di sicurezza (POS);</w:t>
      </w:r>
    </w:p>
    <w:p w14:paraId="597761F1"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fornitura del dispositivo di protezione individuale contro le cadute dall’alto;</w:t>
      </w:r>
    </w:p>
    <w:p w14:paraId="53F53763"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Mancanza di protezioni verso il vuoto;</w:t>
      </w:r>
    </w:p>
    <w:p w14:paraId="015AACD5"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Mancata applicazione delle armature di sostegno, fatte salve le prescrizioni desumibili dalla relazione tecnica di consistenza del terreno;</w:t>
      </w:r>
    </w:p>
    <w:p w14:paraId="0EA50F05"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Lavori in prossimità di linee elettriche in assenza di disposizioni organizzative e procedurali idonee a proteggere i lavoratori dai conseguenti rischi;</w:t>
      </w:r>
    </w:p>
    <w:p w14:paraId="6D3DE9AA"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lastRenderedPageBreak/>
        <w:t>Presenza di conduttori nudi in tensione in assenza di disposizioni organizzative e procedurali idonee a proteggere i lavoratori dai conseguenti rischi;</w:t>
      </w:r>
    </w:p>
    <w:p w14:paraId="7B3A0299"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Mancanza di protezione contro i contatti diretti ed indiretti (impianto di terra, interruttore magnetotermico, interruttore differenziale);</w:t>
      </w:r>
    </w:p>
    <w:p w14:paraId="7B829619" w14:textId="77777777" w:rsidR="002558B3" w:rsidRPr="00CC00D4" w:rsidRDefault="002558B3">
      <w:pPr>
        <w:pStyle w:val="Paragrafoelenco"/>
        <w:numPr>
          <w:ilvl w:val="0"/>
          <w:numId w:val="82"/>
        </w:numPr>
        <w:autoSpaceDN w:val="0"/>
        <w:ind w:left="709" w:hanging="357"/>
        <w:contextualSpacing/>
        <w:textAlignment w:val="baseline"/>
        <w:rPr>
          <w:rFonts w:cs="Tahoma"/>
          <w:szCs w:val="20"/>
        </w:rPr>
      </w:pPr>
      <w:r w:rsidRPr="00CC00D4">
        <w:rPr>
          <w:rFonts w:cs="Tahoma"/>
          <w:bCs/>
          <w:szCs w:val="20"/>
        </w:rPr>
        <w:t>Omessa vigilanza in ordine alla rimozione o modifica dei dispositivi di sicurezza o di segnalazione o di controllo.</w:t>
      </w:r>
    </w:p>
    <w:p w14:paraId="5BC53A49" w14:textId="77777777" w:rsidR="002558B3" w:rsidRPr="00CC00D4" w:rsidRDefault="002558B3" w:rsidP="002558B3">
      <w:pPr>
        <w:pStyle w:val="Standard"/>
        <w:spacing w:after="200" w:line="360" w:lineRule="auto"/>
        <w:jc w:val="both"/>
        <w:rPr>
          <w:rFonts w:ascii="Tahoma" w:hAnsi="Tahoma" w:cs="Tahoma"/>
          <w:b/>
          <w:bCs/>
          <w:i/>
          <w:kern w:val="0"/>
          <w:sz w:val="20"/>
          <w:szCs w:val="20"/>
        </w:rPr>
      </w:pPr>
    </w:p>
    <w:p w14:paraId="3859F071" w14:textId="77777777" w:rsidR="002558B3" w:rsidRPr="00CC00D4" w:rsidRDefault="002558B3" w:rsidP="002558B3">
      <w:pPr>
        <w:pStyle w:val="Standard"/>
        <w:spacing w:after="200" w:line="360" w:lineRule="auto"/>
        <w:jc w:val="both"/>
        <w:rPr>
          <w:rFonts w:ascii="Tahoma" w:hAnsi="Tahoma" w:cs="Tahoma"/>
          <w:b/>
          <w:i/>
          <w:kern w:val="0"/>
          <w:sz w:val="20"/>
          <w:szCs w:val="20"/>
        </w:rPr>
      </w:pPr>
    </w:p>
    <w:p w14:paraId="6D69E46F" w14:textId="77777777" w:rsidR="000503FE" w:rsidRPr="00CC00D4" w:rsidRDefault="000503FE" w:rsidP="00BA638F">
      <w:pPr>
        <w:pStyle w:val="Titolo1"/>
        <w:sectPr w:rsidR="000503FE" w:rsidRPr="00CC00D4">
          <w:pgSz w:w="11906" w:h="16838"/>
          <w:pgMar w:top="776" w:right="1134" w:bottom="777" w:left="1134" w:header="720" w:footer="720" w:gutter="0"/>
          <w:cols w:space="720"/>
          <w:titlePg/>
          <w:docGrid w:linePitch="272"/>
        </w:sectPr>
      </w:pPr>
      <w:bookmarkStart w:id="99" w:name="__RefHeading__4404_1479815270"/>
      <w:bookmarkStart w:id="100" w:name="_Toc92386468"/>
    </w:p>
    <w:p w14:paraId="126D57CF" w14:textId="77777777" w:rsidR="000503FE" w:rsidRPr="00CC00D4" w:rsidRDefault="002558B3" w:rsidP="00BA638F">
      <w:pPr>
        <w:pStyle w:val="Titolo1"/>
      </w:pPr>
      <w:bookmarkStart w:id="101" w:name="_Toc124266235"/>
      <w:r w:rsidRPr="00CC00D4">
        <w:lastRenderedPageBreak/>
        <w:t>3.</w:t>
      </w:r>
      <w:bookmarkEnd w:id="101"/>
    </w:p>
    <w:bookmarkStart w:id="102" w:name="_Toc124266236"/>
    <w:p w14:paraId="07CE5FD1" w14:textId="5F0590A6" w:rsidR="002558B3" w:rsidRPr="00CC00D4" w:rsidRDefault="00985370" w:rsidP="00BA638F">
      <w:pPr>
        <w:pStyle w:val="Titolo1"/>
      </w:pPr>
      <w:r w:rsidRPr="00CC00D4">
        <w:rPr>
          <w:bCs w:val="0"/>
          <w:noProof/>
          <w:kern w:val="0"/>
          <w:sz w:val="20"/>
          <w:szCs w:val="20"/>
          <w:lang w:eastAsia="it-IT"/>
        </w:rPr>
        <mc:AlternateContent>
          <mc:Choice Requires="wps">
            <w:drawing>
              <wp:anchor distT="0" distB="0" distL="114300" distR="114300" simplePos="0" relativeHeight="251661312" behindDoc="0" locked="0" layoutInCell="1" allowOverlap="1" wp14:anchorId="4D91A957" wp14:editId="681A3C74">
                <wp:simplePos x="0" y="0"/>
                <wp:positionH relativeFrom="column">
                  <wp:posOffset>1782445</wp:posOffset>
                </wp:positionH>
                <wp:positionV relativeFrom="paragraph">
                  <wp:posOffset>53975</wp:posOffset>
                </wp:positionV>
                <wp:extent cx="2443480" cy="6350"/>
                <wp:effectExtent l="16510" t="12700" r="16510" b="1905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C9FAED" id="AutoShape 120" o:spid="_x0000_s1026" type="#_x0000_t32" style="position:absolute;margin-left:140.35pt;margin-top:4.25pt;width:192.4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" strokecolor="#404040" strokeweight=".53mm">
                <v:stroke joinstyle="miter" endcap="square"/>
              </v:shape>
            </w:pict>
          </mc:Fallback>
        </mc:AlternateContent>
      </w:r>
      <w:r w:rsidR="002558B3" w:rsidRPr="00CC00D4">
        <w:t>Copertura previdenziale</w:t>
      </w:r>
      <w:bookmarkEnd w:id="99"/>
      <w:bookmarkEnd w:id="100"/>
      <w:bookmarkEnd w:id="102"/>
    </w:p>
    <w:p w14:paraId="133E9092"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623CFAFE" w14:textId="77777777" w:rsidR="009D2EA2" w:rsidRPr="00CC00D4" w:rsidRDefault="009D2EA2" w:rsidP="002558B3">
      <w:pPr>
        <w:pStyle w:val="Standard"/>
        <w:spacing w:after="200" w:line="360" w:lineRule="auto"/>
        <w:jc w:val="both"/>
        <w:rPr>
          <w:rFonts w:ascii="Tahoma" w:hAnsi="Tahoma" w:cs="Tahoma"/>
          <w:bCs/>
          <w:kern w:val="0"/>
          <w:sz w:val="20"/>
          <w:szCs w:val="20"/>
        </w:rPr>
      </w:pPr>
    </w:p>
    <w:p w14:paraId="5875C6D3" w14:textId="77777777" w:rsidR="009D2EA2" w:rsidRPr="00CC00D4" w:rsidRDefault="009D2EA2" w:rsidP="002558B3">
      <w:pPr>
        <w:pStyle w:val="Standard"/>
        <w:spacing w:after="200" w:line="360" w:lineRule="auto"/>
        <w:jc w:val="both"/>
        <w:rPr>
          <w:rFonts w:ascii="Tahoma" w:hAnsi="Tahoma" w:cs="Tahoma"/>
          <w:bCs/>
          <w:kern w:val="0"/>
          <w:sz w:val="20"/>
          <w:szCs w:val="20"/>
        </w:rPr>
      </w:pPr>
    </w:p>
    <w:p w14:paraId="395983B7" w14:textId="77777777" w:rsidR="009D2EA2" w:rsidRPr="00CC00D4" w:rsidRDefault="009D2EA2" w:rsidP="002558B3">
      <w:pPr>
        <w:pStyle w:val="Standard"/>
        <w:spacing w:after="200" w:line="360" w:lineRule="auto"/>
        <w:jc w:val="both"/>
        <w:rPr>
          <w:rFonts w:ascii="Tahoma" w:hAnsi="Tahoma" w:cs="Tahoma"/>
          <w:bCs/>
          <w:kern w:val="0"/>
          <w:sz w:val="20"/>
          <w:szCs w:val="20"/>
        </w:rPr>
      </w:pPr>
    </w:p>
    <w:p w14:paraId="3A1ECF02" w14:textId="77777777" w:rsidR="009D2EA2" w:rsidRPr="00CC00D4" w:rsidRDefault="009D2EA2" w:rsidP="002558B3">
      <w:pPr>
        <w:pStyle w:val="Standard"/>
        <w:spacing w:after="200" w:line="360" w:lineRule="auto"/>
        <w:jc w:val="both"/>
        <w:rPr>
          <w:rFonts w:ascii="Tahoma" w:hAnsi="Tahoma" w:cs="Tahoma"/>
          <w:bCs/>
          <w:kern w:val="0"/>
          <w:sz w:val="20"/>
          <w:szCs w:val="20"/>
        </w:rPr>
      </w:pPr>
    </w:p>
    <w:p w14:paraId="4AF85D29" w14:textId="77777777" w:rsidR="009D2EA2" w:rsidRPr="00CC00D4" w:rsidRDefault="009D2EA2" w:rsidP="002558B3">
      <w:pPr>
        <w:pStyle w:val="Standard"/>
        <w:spacing w:after="200" w:line="360" w:lineRule="auto"/>
        <w:jc w:val="both"/>
        <w:rPr>
          <w:rFonts w:ascii="Tahoma" w:hAnsi="Tahoma" w:cs="Tahoma"/>
          <w:bCs/>
          <w:kern w:val="0"/>
          <w:sz w:val="20"/>
          <w:szCs w:val="20"/>
        </w:rPr>
      </w:pPr>
    </w:p>
    <w:p w14:paraId="351ADB2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copertura previdenziale garantita ai lavoratori autonomi occasionali è affidata alla Gestione Separata INPS, prevista all’articolo 2 comma 26 Legge 8 agosto 1995 numero 335, la cui funzione è essenzialmente quella di estendere l’assicurazione generale obbligatoria per l’invalidità, la vecchiaia e i superstiti, ad alcune tipologie contrattuali diverse dal lavoratore dipendente.</w:t>
      </w:r>
    </w:p>
    <w:p w14:paraId="6255C77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norma del Decreto legge 30 settembre 2003 numero 269 (convertito con modificazioni in Legge 24 novembre 2003 numero 326) all’articolo 44 dal titolo “</w:t>
      </w:r>
      <w:r w:rsidRPr="00CC00D4">
        <w:rPr>
          <w:rFonts w:ascii="Tahoma" w:hAnsi="Tahoma" w:cs="Tahoma"/>
          <w:bCs/>
          <w:i/>
          <w:iCs/>
          <w:kern w:val="0"/>
          <w:sz w:val="20"/>
          <w:szCs w:val="20"/>
        </w:rPr>
        <w:t>Disposizioni varie in materia previdenziale</w:t>
      </w:r>
      <w:r w:rsidRPr="00CC00D4">
        <w:rPr>
          <w:rFonts w:ascii="Tahoma" w:hAnsi="Tahoma" w:cs="Tahoma"/>
          <w:bCs/>
          <w:kern w:val="0"/>
          <w:sz w:val="20"/>
          <w:szCs w:val="20"/>
        </w:rPr>
        <w:t>” si prevede (comma 2) a decorrere dal 1° gennaio 2004 l’iscrizione alla Gestione Separata per i soggetti esercenti “</w:t>
      </w:r>
      <w:r w:rsidRPr="00CC00D4">
        <w:rPr>
          <w:rFonts w:ascii="Tahoma" w:hAnsi="Tahoma" w:cs="Tahoma"/>
          <w:bCs/>
          <w:i/>
          <w:iCs/>
          <w:kern w:val="0"/>
          <w:sz w:val="20"/>
          <w:szCs w:val="20"/>
        </w:rPr>
        <w:t>attività di lavoro autonomo occasionale e gli incaricati alle vendite a domicilio</w:t>
      </w:r>
      <w:r w:rsidRPr="00CC00D4">
        <w:rPr>
          <w:rFonts w:ascii="Tahoma" w:hAnsi="Tahoma" w:cs="Tahoma"/>
          <w:bCs/>
          <w:kern w:val="0"/>
          <w:sz w:val="20"/>
          <w:szCs w:val="20"/>
        </w:rPr>
        <w:t>” solo qualora il “</w:t>
      </w:r>
      <w:r w:rsidRPr="00CC00D4">
        <w:rPr>
          <w:rFonts w:ascii="Tahoma" w:hAnsi="Tahoma" w:cs="Tahoma"/>
          <w:bCs/>
          <w:i/>
          <w:iCs/>
          <w:kern w:val="0"/>
          <w:sz w:val="20"/>
          <w:szCs w:val="20"/>
        </w:rPr>
        <w:t>reddito annuo derivante da dette attività sia superiore ad euro 5.000</w:t>
      </w:r>
      <w:r w:rsidRPr="00CC00D4">
        <w:rPr>
          <w:rFonts w:ascii="Tahoma" w:hAnsi="Tahoma" w:cs="Tahoma"/>
          <w:bCs/>
          <w:kern w:val="0"/>
          <w:sz w:val="20"/>
          <w:szCs w:val="20"/>
        </w:rPr>
        <w:t>”.</w:t>
      </w:r>
    </w:p>
    <w:p w14:paraId="0FD24D2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 consegue che l’obbligo contributivo sussiste soltanto se il lavoratore realizza un reddito annuo fiscalmente imponibile superiore a 5.000 euro, anche per effetto di prestazioni rese in favore di più committenti. In tal caso, il prelievo ed il pagamento dei contributi avverranno soltanto sulla parte di reddito che eccede i 5 mila euro. La Circolare INPS numero 103 del 6 luglio 2004 precisa infatti che: “</w:t>
      </w:r>
      <w:r w:rsidRPr="00CC00D4">
        <w:rPr>
          <w:rFonts w:ascii="Tahoma" w:hAnsi="Tahoma" w:cs="Tahoma"/>
          <w:bCs/>
          <w:i/>
          <w:kern w:val="0"/>
          <w:sz w:val="20"/>
          <w:szCs w:val="20"/>
        </w:rPr>
        <w:t>Il reddito di euro 5000 costituisce, comunque, una fascia di esenzione e che, in caso di superamento di detta fascia, sempre in relazione alle sole attività considerate dalla norma, i contributi sono dovuti esclusivamente sulla quota di reddito eccedente</w:t>
      </w:r>
      <w:r w:rsidRPr="00CC00D4">
        <w:rPr>
          <w:rFonts w:ascii="Tahoma" w:hAnsi="Tahoma" w:cs="Tahoma"/>
          <w:bCs/>
          <w:kern w:val="0"/>
          <w:sz w:val="20"/>
          <w:szCs w:val="20"/>
        </w:rPr>
        <w:t>”.</w:t>
      </w:r>
    </w:p>
    <w:p w14:paraId="11E726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Sotto l’aspetto temporale, il riferimento al “reddito annuo” è da intendersi (Circolare INPS 6 luglio 2004 numero 103) nel senso che hanno rilievo gli “</w:t>
      </w:r>
      <w:r w:rsidRPr="00CC00D4">
        <w:rPr>
          <w:rFonts w:ascii="Tahoma" w:hAnsi="Tahoma" w:cs="Tahoma"/>
          <w:bCs/>
          <w:i/>
          <w:iCs/>
          <w:kern w:val="0"/>
          <w:sz w:val="20"/>
          <w:szCs w:val="20"/>
        </w:rPr>
        <w:t>emolumenti percepiti nell’arco dell’anno solare (intendendosi per tale il periodo 1° gennaio – 31 dicembre)</w:t>
      </w:r>
      <w:r w:rsidRPr="00CC00D4">
        <w:rPr>
          <w:rFonts w:ascii="Tahoma" w:hAnsi="Tahoma" w:cs="Tahoma"/>
          <w:bCs/>
          <w:kern w:val="0"/>
          <w:sz w:val="20"/>
          <w:szCs w:val="20"/>
        </w:rPr>
        <w:t>”.</w:t>
      </w:r>
    </w:p>
    <w:p w14:paraId="6BC7E7C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Dal punto di vista prettamente quantitativo, invece, ai fini del superamento del limite di reddito si considerano (sempre la Circolare INPS) le somme percepite “</w:t>
      </w:r>
      <w:r w:rsidRPr="00CC00D4">
        <w:rPr>
          <w:rFonts w:ascii="Tahoma" w:hAnsi="Tahoma" w:cs="Tahoma"/>
          <w:bCs/>
          <w:i/>
          <w:iCs/>
          <w:kern w:val="0"/>
          <w:sz w:val="20"/>
          <w:szCs w:val="20"/>
        </w:rPr>
        <w:t>a fronte di un unico o di una pluralità di rapporti</w:t>
      </w:r>
      <w:r w:rsidRPr="00CC00D4">
        <w:rPr>
          <w:rFonts w:ascii="Tahoma" w:hAnsi="Tahoma" w:cs="Tahoma"/>
          <w:bCs/>
          <w:kern w:val="0"/>
          <w:sz w:val="20"/>
          <w:szCs w:val="20"/>
        </w:rPr>
        <w:t>”.</w:t>
      </w:r>
    </w:p>
    <w:p w14:paraId="6F129ED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Da quanto appena citato discendono gli obblighi, in capo al lavoratore di:</w:t>
      </w:r>
    </w:p>
    <w:p w14:paraId="3863B1AF" w14:textId="77777777" w:rsidR="002558B3" w:rsidRPr="00CC00D4" w:rsidRDefault="002558B3">
      <w:pPr>
        <w:pStyle w:val="Paragrafoelenco"/>
        <w:numPr>
          <w:ilvl w:val="0"/>
          <w:numId w:val="88"/>
        </w:numPr>
        <w:autoSpaceDN w:val="0"/>
        <w:ind w:left="709" w:hanging="357"/>
        <w:contextualSpacing/>
        <w:textAlignment w:val="baseline"/>
        <w:rPr>
          <w:rFonts w:cs="Tahoma"/>
          <w:szCs w:val="20"/>
        </w:rPr>
      </w:pPr>
      <w:r w:rsidRPr="00CC00D4">
        <w:rPr>
          <w:rFonts w:cs="Tahoma"/>
          <w:bCs/>
          <w:szCs w:val="20"/>
        </w:rPr>
        <w:lastRenderedPageBreak/>
        <w:t>Comunicare ai committenti, all’inizio di ogni singolo rapporto, il superamento o meno del limite di reddito;</w:t>
      </w:r>
    </w:p>
    <w:p w14:paraId="350AC90F" w14:textId="0044BEC4" w:rsidR="002558B3" w:rsidRPr="00CC00D4" w:rsidRDefault="002558B3" w:rsidP="002558B3">
      <w:pPr>
        <w:pStyle w:val="Paragrafoelenco"/>
        <w:numPr>
          <w:ilvl w:val="0"/>
          <w:numId w:val="88"/>
        </w:numPr>
        <w:autoSpaceDN w:val="0"/>
        <w:ind w:left="709"/>
        <w:textAlignment w:val="baseline"/>
        <w:rPr>
          <w:rFonts w:cs="Tahoma"/>
          <w:szCs w:val="20"/>
        </w:rPr>
      </w:pPr>
      <w:r w:rsidRPr="00CC00D4">
        <w:rPr>
          <w:rFonts w:cs="Tahoma"/>
          <w:bCs/>
          <w:szCs w:val="20"/>
        </w:rPr>
        <w:t>Informare tempestivamente, in costanza di rapporto, il committente nel caso in cui si oltrepassi la soglia citata dei 5.000 euro.</w:t>
      </w:r>
    </w:p>
    <w:p w14:paraId="7A546469" w14:textId="77777777" w:rsidR="00634069" w:rsidRPr="00CC00D4" w:rsidRDefault="00634069" w:rsidP="009E4A78">
      <w:pPr>
        <w:pStyle w:val="Titolo2"/>
      </w:pPr>
      <w:bookmarkStart w:id="103" w:name="__RefHeading__4406_1479815270"/>
      <w:bookmarkStart w:id="104" w:name="_Toc92386469"/>
    </w:p>
    <w:p w14:paraId="79D014B2" w14:textId="3C14858E" w:rsidR="002558B3" w:rsidRPr="00CC00D4" w:rsidRDefault="002558B3" w:rsidP="009E4A78">
      <w:pPr>
        <w:pStyle w:val="Titolo2"/>
      </w:pPr>
      <w:bookmarkStart w:id="105" w:name="_Toc124266237"/>
      <w:r w:rsidRPr="00CC00D4">
        <w:t>3.1 Adempimenti conseguenti</w:t>
      </w:r>
      <w:bookmarkEnd w:id="103"/>
      <w:bookmarkEnd w:id="104"/>
      <w:bookmarkEnd w:id="105"/>
    </w:p>
    <w:p w14:paraId="3EB6DF1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Come già in parte anticipato, al superamento del limite reddituale è fatto obbligo al lavoratore di iscriversi alla Gestione Separata ed altresì informare il committente / i in modo che questi provvedano a:</w:t>
      </w:r>
    </w:p>
    <w:p w14:paraId="089A0520" w14:textId="77777777" w:rsidR="002558B3" w:rsidRPr="00CC00D4" w:rsidRDefault="002558B3">
      <w:pPr>
        <w:pStyle w:val="Paragrafoelenco"/>
        <w:numPr>
          <w:ilvl w:val="0"/>
          <w:numId w:val="86"/>
        </w:numPr>
        <w:autoSpaceDN w:val="0"/>
        <w:ind w:left="709" w:hanging="357"/>
        <w:contextualSpacing/>
        <w:textAlignment w:val="baseline"/>
        <w:rPr>
          <w:rFonts w:cs="Tahoma"/>
          <w:szCs w:val="20"/>
        </w:rPr>
      </w:pPr>
      <w:r w:rsidRPr="00CC00D4">
        <w:rPr>
          <w:rFonts w:cs="Tahoma"/>
          <w:bCs/>
          <w:szCs w:val="20"/>
        </w:rPr>
        <w:t>Trattenere i contributi INPS a carico del lavoratore;</w:t>
      </w:r>
    </w:p>
    <w:p w14:paraId="17C348D6" w14:textId="77777777" w:rsidR="002558B3" w:rsidRPr="00CC00D4" w:rsidRDefault="002558B3">
      <w:pPr>
        <w:pStyle w:val="Paragrafoelenco"/>
        <w:numPr>
          <w:ilvl w:val="0"/>
          <w:numId w:val="86"/>
        </w:numPr>
        <w:autoSpaceDN w:val="0"/>
        <w:ind w:left="709" w:hanging="357"/>
        <w:contextualSpacing/>
        <w:textAlignment w:val="baseline"/>
        <w:rPr>
          <w:rFonts w:cs="Tahoma"/>
          <w:szCs w:val="20"/>
        </w:rPr>
      </w:pPr>
      <w:r w:rsidRPr="00CC00D4">
        <w:rPr>
          <w:rFonts w:cs="Tahoma"/>
          <w:bCs/>
          <w:szCs w:val="20"/>
        </w:rPr>
        <w:t>Versare i contributi INPS a loro carico a mezzo F24 (insieme alle somme trattenute al lavoratore);</w:t>
      </w:r>
    </w:p>
    <w:p w14:paraId="39CDF3AA" w14:textId="77777777" w:rsidR="002558B3" w:rsidRPr="00CC00D4" w:rsidRDefault="002558B3">
      <w:pPr>
        <w:pStyle w:val="Paragrafoelenco"/>
        <w:numPr>
          <w:ilvl w:val="0"/>
          <w:numId w:val="86"/>
        </w:numPr>
        <w:autoSpaceDN w:val="0"/>
        <w:ind w:left="709"/>
        <w:textAlignment w:val="baseline"/>
        <w:rPr>
          <w:rFonts w:cs="Tahoma"/>
          <w:szCs w:val="20"/>
        </w:rPr>
      </w:pPr>
      <w:r w:rsidRPr="00CC00D4">
        <w:rPr>
          <w:rFonts w:cs="Tahoma"/>
          <w:bCs/>
          <w:szCs w:val="20"/>
        </w:rPr>
        <w:t>Inviare la denuncia UniEmens all’INPS.</w:t>
      </w:r>
    </w:p>
    <w:p w14:paraId="6115B870" w14:textId="3BD6C19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superamento della soglia nel corso dello stesso rapporto ed in virtù del concorso di più committenti, ciascuno di essi calcolerà il contributo dovuto in misura proporzionale, in base al rapporto tra il suo compenso ed il totale degli importi riconosciuti.</w:t>
      </w:r>
    </w:p>
    <w:p w14:paraId="2D8083FA" w14:textId="77777777" w:rsidR="00634069" w:rsidRPr="00CC00D4" w:rsidRDefault="00634069" w:rsidP="009E4A78">
      <w:pPr>
        <w:pStyle w:val="Titolo2"/>
      </w:pPr>
      <w:bookmarkStart w:id="106" w:name="__RefHeading__4408_1479815270"/>
      <w:bookmarkStart w:id="107" w:name="_Toc92386470"/>
    </w:p>
    <w:p w14:paraId="19518F22" w14:textId="129D0975" w:rsidR="002558B3" w:rsidRPr="00CC00D4" w:rsidRDefault="002558B3" w:rsidP="009E4A78">
      <w:pPr>
        <w:pStyle w:val="Titolo2"/>
      </w:pPr>
      <w:bookmarkStart w:id="108" w:name="_Toc124266238"/>
      <w:r w:rsidRPr="00CC00D4">
        <w:t>3.2 Procedura di iscrizione alla Gestione Separata</w:t>
      </w:r>
      <w:bookmarkEnd w:id="106"/>
      <w:bookmarkEnd w:id="107"/>
      <w:bookmarkEnd w:id="108"/>
    </w:p>
    <w:p w14:paraId="68ECDB2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lavoratore autonomo occasionale è tenuto ad iscriversi alla Gestione Separata una sola volta per tutta la sua vita lavorativa. Di conseguenza, l’adempimento non dovrà ripetersi se cambia il committente originario ovvero se ne aggiungono altri.</w:t>
      </w:r>
    </w:p>
    <w:p w14:paraId="61A02BC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già citata Circolare INPS del 6 luglio 2004 numero 103 precisa che “</w:t>
      </w:r>
      <w:r w:rsidRPr="00CC00D4">
        <w:rPr>
          <w:rFonts w:ascii="Tahoma" w:hAnsi="Tahoma" w:cs="Tahoma"/>
          <w:bCs/>
          <w:i/>
          <w:kern w:val="0"/>
          <w:sz w:val="20"/>
          <w:szCs w:val="20"/>
        </w:rPr>
        <w:t>l’obbligo di iscrizione alla Gestione Separata di cui alla legge n. 335/1995 per i lavoratori autonomi occasionali e per gli incaricati alle vendite a domicilio si configura soltanto allorché gli emolumenti percepiti nell’arco dell’anno solare</w:t>
      </w:r>
      <w:r w:rsidRPr="00CC00D4">
        <w:rPr>
          <w:rFonts w:ascii="Tahoma" w:hAnsi="Tahoma" w:cs="Tahoma"/>
          <w:bCs/>
          <w:kern w:val="0"/>
          <w:sz w:val="20"/>
          <w:szCs w:val="20"/>
        </w:rPr>
        <w:t>” superino “</w:t>
      </w:r>
      <w:r w:rsidRPr="00CC00D4">
        <w:rPr>
          <w:rFonts w:ascii="Tahoma" w:hAnsi="Tahoma" w:cs="Tahoma"/>
          <w:bCs/>
          <w:i/>
          <w:kern w:val="0"/>
          <w:sz w:val="20"/>
          <w:szCs w:val="20"/>
        </w:rPr>
        <w:t>l’importo di euro 5000 ed a decorrere da tale momento</w:t>
      </w:r>
      <w:r w:rsidRPr="00CC00D4">
        <w:rPr>
          <w:rFonts w:ascii="Tahoma" w:hAnsi="Tahoma" w:cs="Tahoma"/>
          <w:bCs/>
          <w:kern w:val="0"/>
          <w:sz w:val="20"/>
          <w:szCs w:val="20"/>
        </w:rPr>
        <w:t>”.</w:t>
      </w:r>
    </w:p>
    <w:p w14:paraId="58BD3FF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L’iscrizione avviene dietro domanda telematica inoltrata collegandosi al portale “</w:t>
      </w:r>
      <w:r w:rsidRPr="00CC00D4">
        <w:rPr>
          <w:rFonts w:ascii="Tahoma" w:hAnsi="Tahoma" w:cs="Tahoma"/>
          <w:bCs/>
          <w:i/>
          <w:kern w:val="0"/>
          <w:sz w:val="20"/>
          <w:szCs w:val="20"/>
        </w:rPr>
        <w:t>inps.it – Prestazioni e servizi – Domanda di iscrizione alla Gestione Separata</w:t>
      </w:r>
      <w:r w:rsidRPr="00CC00D4">
        <w:rPr>
          <w:rFonts w:ascii="Tahoma" w:hAnsi="Tahoma" w:cs="Tahoma"/>
          <w:bCs/>
          <w:kern w:val="0"/>
          <w:sz w:val="20"/>
          <w:szCs w:val="20"/>
        </w:rPr>
        <w:t>”, per gli utenti dotati delle credenziali SPID, CIE o CNS.</w:t>
      </w:r>
    </w:p>
    <w:p w14:paraId="6F4D026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alternativa è possibile:</w:t>
      </w:r>
    </w:p>
    <w:p w14:paraId="78616741" w14:textId="77777777" w:rsidR="002558B3" w:rsidRPr="00CC00D4" w:rsidRDefault="002558B3">
      <w:pPr>
        <w:pStyle w:val="Paragrafoelenco"/>
        <w:numPr>
          <w:ilvl w:val="0"/>
          <w:numId w:val="87"/>
        </w:numPr>
        <w:autoSpaceDN w:val="0"/>
        <w:ind w:left="709" w:hanging="357"/>
        <w:contextualSpacing/>
        <w:textAlignment w:val="baseline"/>
        <w:rPr>
          <w:rFonts w:cs="Tahoma"/>
          <w:szCs w:val="20"/>
        </w:rPr>
      </w:pPr>
      <w:r w:rsidRPr="00CC00D4">
        <w:rPr>
          <w:rFonts w:cs="Tahoma"/>
          <w:bCs/>
          <w:szCs w:val="20"/>
        </w:rPr>
        <w:t>Chiamare il Contact center dell’Istituto al numero 803.164 (da telefono fisso) ovvero lo 06.164.164 da cellulare;</w:t>
      </w:r>
    </w:p>
    <w:p w14:paraId="4BC319FB" w14:textId="77777777" w:rsidR="002558B3" w:rsidRPr="00CC00D4" w:rsidRDefault="002558B3">
      <w:pPr>
        <w:pStyle w:val="Paragrafoelenco"/>
        <w:numPr>
          <w:ilvl w:val="0"/>
          <w:numId w:val="87"/>
        </w:numPr>
        <w:autoSpaceDN w:val="0"/>
        <w:ind w:left="709"/>
        <w:textAlignment w:val="baseline"/>
        <w:rPr>
          <w:rFonts w:cs="Tahoma"/>
          <w:szCs w:val="20"/>
        </w:rPr>
      </w:pPr>
      <w:r w:rsidRPr="00CC00D4">
        <w:rPr>
          <w:rFonts w:cs="Tahoma"/>
          <w:bCs/>
          <w:szCs w:val="20"/>
        </w:rPr>
        <w:t>Rivolgersi ad intermediari abilitati.</w:t>
      </w:r>
    </w:p>
    <w:p w14:paraId="25ADDF7E" w14:textId="24326EDC" w:rsidR="002558B3" w:rsidRPr="00CC00D4" w:rsidRDefault="002558B3" w:rsidP="009E4A78">
      <w:pPr>
        <w:pStyle w:val="Titolo2"/>
      </w:pPr>
      <w:bookmarkStart w:id="109" w:name="__RefHeading__4410_1479815270"/>
      <w:bookmarkStart w:id="110" w:name="_Toc92386471"/>
      <w:bookmarkStart w:id="111" w:name="_Toc124266239"/>
      <w:r w:rsidRPr="00CC00D4">
        <w:lastRenderedPageBreak/>
        <w:t>3.3 Compilazione della domanda</w:t>
      </w:r>
      <w:bookmarkEnd w:id="109"/>
      <w:bookmarkEnd w:id="110"/>
      <w:bookmarkEnd w:id="111"/>
    </w:p>
    <w:p w14:paraId="1A63B16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invio in autonomia della domanda di iscrizione sul sito INPS, una volta inserite le credenziali ed effettuato l’accesso, si dovrà selezionare l’opzione di iscrizione come “</w:t>
      </w:r>
      <w:r w:rsidRPr="00CC00D4">
        <w:rPr>
          <w:rFonts w:ascii="Tahoma" w:hAnsi="Tahoma" w:cs="Tahoma"/>
          <w:bCs/>
          <w:i/>
          <w:kern w:val="0"/>
          <w:sz w:val="20"/>
          <w:szCs w:val="20"/>
        </w:rPr>
        <w:t>Parasubordinato</w:t>
      </w:r>
      <w:r w:rsidRPr="00CC00D4">
        <w:rPr>
          <w:rFonts w:ascii="Tahoma" w:hAnsi="Tahoma" w:cs="Tahoma"/>
          <w:bCs/>
          <w:kern w:val="0"/>
          <w:sz w:val="20"/>
          <w:szCs w:val="20"/>
        </w:rPr>
        <w:t>” o “</w:t>
      </w:r>
      <w:r w:rsidRPr="00CC00D4">
        <w:rPr>
          <w:rFonts w:ascii="Tahoma" w:hAnsi="Tahoma" w:cs="Tahoma"/>
          <w:bCs/>
          <w:i/>
          <w:kern w:val="0"/>
          <w:sz w:val="20"/>
          <w:szCs w:val="20"/>
        </w:rPr>
        <w:t>Professionista</w:t>
      </w:r>
      <w:r w:rsidRPr="00CC00D4">
        <w:rPr>
          <w:rFonts w:ascii="Tahoma" w:hAnsi="Tahoma" w:cs="Tahoma"/>
          <w:bCs/>
          <w:kern w:val="0"/>
          <w:sz w:val="20"/>
          <w:szCs w:val="20"/>
        </w:rPr>
        <w:t>”.</w:t>
      </w:r>
    </w:p>
    <w:p w14:paraId="7D9A757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caso dei lavoratori autonomi occasionali si ritiene opportuno utilizzare la modalità di iscrizione come parasubordinato.</w:t>
      </w:r>
    </w:p>
    <w:p w14:paraId="2999526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tal caso, posto che i dati anagrafici saranno automaticamente inseriti dal sistema, all’interessato non resterà che riportare:</w:t>
      </w:r>
    </w:p>
    <w:p w14:paraId="79FA790D" w14:textId="77777777" w:rsidR="002558B3" w:rsidRPr="00CC00D4" w:rsidRDefault="002558B3">
      <w:pPr>
        <w:pStyle w:val="Paragrafoelenco"/>
        <w:numPr>
          <w:ilvl w:val="0"/>
          <w:numId w:val="83"/>
        </w:numPr>
        <w:autoSpaceDN w:val="0"/>
        <w:ind w:left="709" w:hanging="357"/>
        <w:contextualSpacing/>
        <w:textAlignment w:val="baseline"/>
        <w:rPr>
          <w:rFonts w:cs="Tahoma"/>
          <w:szCs w:val="20"/>
        </w:rPr>
      </w:pPr>
      <w:r w:rsidRPr="00CC00D4">
        <w:rPr>
          <w:rFonts w:cs="Tahoma"/>
          <w:bCs/>
          <w:szCs w:val="20"/>
        </w:rPr>
        <w:t>Data di inizio dell’attività (corretta in automatico dal sistema se risulta versata contribuzione in data antecedente);</w:t>
      </w:r>
    </w:p>
    <w:p w14:paraId="1902E6CE" w14:textId="77777777" w:rsidR="002558B3" w:rsidRPr="00CC00D4" w:rsidRDefault="002558B3">
      <w:pPr>
        <w:pStyle w:val="Paragrafoelenco"/>
        <w:numPr>
          <w:ilvl w:val="0"/>
          <w:numId w:val="83"/>
        </w:numPr>
        <w:autoSpaceDN w:val="0"/>
        <w:ind w:left="709" w:hanging="357"/>
        <w:contextualSpacing/>
        <w:textAlignment w:val="baseline"/>
        <w:rPr>
          <w:rFonts w:cs="Tahoma"/>
          <w:szCs w:val="20"/>
        </w:rPr>
      </w:pPr>
      <w:r w:rsidRPr="00CC00D4">
        <w:rPr>
          <w:rFonts w:cs="Tahoma"/>
          <w:bCs/>
          <w:szCs w:val="20"/>
        </w:rPr>
        <w:t>Numero di telefono;</w:t>
      </w:r>
    </w:p>
    <w:p w14:paraId="1F5D22B6" w14:textId="77777777" w:rsidR="002558B3" w:rsidRPr="00CC00D4" w:rsidRDefault="002558B3">
      <w:pPr>
        <w:pStyle w:val="Paragrafoelenco"/>
        <w:numPr>
          <w:ilvl w:val="0"/>
          <w:numId w:val="83"/>
        </w:numPr>
        <w:autoSpaceDN w:val="0"/>
        <w:ind w:left="709"/>
        <w:textAlignment w:val="baseline"/>
        <w:rPr>
          <w:rFonts w:cs="Tahoma"/>
          <w:szCs w:val="20"/>
        </w:rPr>
      </w:pPr>
      <w:r w:rsidRPr="00CC00D4">
        <w:rPr>
          <w:rFonts w:cs="Tahoma"/>
          <w:bCs/>
          <w:szCs w:val="20"/>
        </w:rPr>
        <w:t>Indirizzo email.</w:t>
      </w:r>
    </w:p>
    <w:p w14:paraId="2B4B3830" w14:textId="21642D81"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Una volta inseriti e confermati i dati, la domanda </w:t>
      </w:r>
      <w:r w:rsidR="00F32F1F" w:rsidRPr="00CC00D4">
        <w:rPr>
          <w:rFonts w:ascii="Tahoma" w:hAnsi="Tahoma" w:cs="Tahoma"/>
          <w:bCs/>
          <w:kern w:val="0"/>
          <w:sz w:val="20"/>
          <w:szCs w:val="20"/>
        </w:rPr>
        <w:t>sarà</w:t>
      </w:r>
      <w:r w:rsidRPr="00CC00D4">
        <w:rPr>
          <w:rFonts w:ascii="Tahoma" w:hAnsi="Tahoma" w:cs="Tahoma"/>
          <w:bCs/>
          <w:kern w:val="0"/>
          <w:sz w:val="20"/>
          <w:szCs w:val="20"/>
        </w:rPr>
        <w:t xml:space="preserve"> acquisita dal portale per la protocollazione.</w:t>
      </w:r>
    </w:p>
    <w:p w14:paraId="4C38AC93" w14:textId="77777777" w:rsidR="00634069" w:rsidRPr="00CC00D4" w:rsidRDefault="00634069" w:rsidP="009E4A78">
      <w:pPr>
        <w:pStyle w:val="Titolo2"/>
      </w:pPr>
      <w:bookmarkStart w:id="112" w:name="__RefHeading__4412_1479815270"/>
      <w:bookmarkStart w:id="113" w:name="_Toc92386472"/>
    </w:p>
    <w:p w14:paraId="7FB763A6" w14:textId="3653E9AF" w:rsidR="002558B3" w:rsidRPr="00CC00D4" w:rsidRDefault="002558B3" w:rsidP="009E4A78">
      <w:pPr>
        <w:pStyle w:val="Titolo2"/>
      </w:pPr>
      <w:bookmarkStart w:id="114" w:name="_Toc124266240"/>
      <w:r w:rsidRPr="00CC00D4">
        <w:t>3.4 Cassetto previdenziale</w:t>
      </w:r>
      <w:bookmarkEnd w:id="112"/>
      <w:bookmarkEnd w:id="113"/>
      <w:bookmarkEnd w:id="114"/>
    </w:p>
    <w:p w14:paraId="3976CBD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necessità dei committenti di gestire e consultare il versamento dei contributi alla Gestione Separata è alla base del servizio denominato “</w:t>
      </w:r>
      <w:r w:rsidRPr="00CC00D4">
        <w:rPr>
          <w:rFonts w:ascii="Tahoma" w:hAnsi="Tahoma" w:cs="Tahoma"/>
          <w:bCs/>
          <w:i/>
          <w:kern w:val="0"/>
          <w:sz w:val="20"/>
          <w:szCs w:val="20"/>
        </w:rPr>
        <w:t>Cassetto Previdenziale</w:t>
      </w:r>
      <w:r w:rsidRPr="00CC00D4">
        <w:rPr>
          <w:rFonts w:ascii="Tahoma" w:hAnsi="Tahoma" w:cs="Tahoma"/>
          <w:bCs/>
          <w:kern w:val="0"/>
          <w:sz w:val="20"/>
          <w:szCs w:val="20"/>
        </w:rPr>
        <w:t>”.</w:t>
      </w:r>
    </w:p>
    <w:p w14:paraId="1D75FC2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Sulla falsariga del portale previsto per i datori di lavoro, il servizio accessibile da “</w:t>
      </w:r>
      <w:r w:rsidRPr="00CC00D4">
        <w:rPr>
          <w:rFonts w:ascii="Tahoma" w:hAnsi="Tahoma" w:cs="Tahoma"/>
          <w:bCs/>
          <w:i/>
          <w:kern w:val="0"/>
          <w:sz w:val="20"/>
          <w:szCs w:val="20"/>
        </w:rPr>
        <w:t>inps.it – Prestazioni e Servizi – Prestazioni – Cassetto Previdenziale per committenti della Gestione Separata</w:t>
      </w:r>
      <w:r w:rsidRPr="00CC00D4">
        <w:rPr>
          <w:rFonts w:ascii="Tahoma" w:hAnsi="Tahoma" w:cs="Tahoma"/>
          <w:bCs/>
          <w:kern w:val="0"/>
          <w:sz w:val="20"/>
          <w:szCs w:val="20"/>
        </w:rPr>
        <w:t>” (necessarie le credenziali SPID, CIE o CNS) permette ai committenti o loro intermediari cui hanno affidato in delega la gestione dei rapporti con l’Istituto di:</w:t>
      </w:r>
    </w:p>
    <w:p w14:paraId="525714DF" w14:textId="77777777" w:rsidR="002558B3" w:rsidRPr="00CC00D4" w:rsidRDefault="002558B3">
      <w:pPr>
        <w:pStyle w:val="Paragrafoelenco"/>
        <w:numPr>
          <w:ilvl w:val="0"/>
          <w:numId w:val="84"/>
        </w:numPr>
        <w:autoSpaceDN w:val="0"/>
        <w:ind w:left="709" w:hanging="357"/>
        <w:contextualSpacing/>
        <w:textAlignment w:val="baseline"/>
        <w:rPr>
          <w:rFonts w:cs="Tahoma"/>
          <w:szCs w:val="20"/>
        </w:rPr>
      </w:pPr>
      <w:r w:rsidRPr="00CC00D4">
        <w:rPr>
          <w:rFonts w:cs="Tahoma"/>
          <w:szCs w:val="20"/>
        </w:rPr>
        <w:t>Visualizzare i dettagli anagrafici dell’azienda e quelli contributivi dei lavoratori autonomi;</w:t>
      </w:r>
    </w:p>
    <w:p w14:paraId="71C88B65" w14:textId="77777777" w:rsidR="002558B3" w:rsidRPr="00CC00D4" w:rsidRDefault="002558B3">
      <w:pPr>
        <w:pStyle w:val="Paragrafoelenco"/>
        <w:numPr>
          <w:ilvl w:val="0"/>
          <w:numId w:val="84"/>
        </w:numPr>
        <w:autoSpaceDN w:val="0"/>
        <w:ind w:left="709" w:hanging="357"/>
        <w:contextualSpacing/>
        <w:textAlignment w:val="baseline"/>
        <w:rPr>
          <w:rFonts w:cs="Tahoma"/>
          <w:szCs w:val="20"/>
        </w:rPr>
      </w:pPr>
      <w:r w:rsidRPr="00CC00D4">
        <w:rPr>
          <w:rFonts w:cs="Tahoma"/>
          <w:szCs w:val="20"/>
        </w:rPr>
        <w:t>Visualizzare le denunce UniEmens inviate;</w:t>
      </w:r>
    </w:p>
    <w:p w14:paraId="3598A079" w14:textId="77777777" w:rsidR="002558B3" w:rsidRPr="00CC00D4" w:rsidRDefault="002558B3">
      <w:pPr>
        <w:pStyle w:val="Paragrafoelenco"/>
        <w:numPr>
          <w:ilvl w:val="0"/>
          <w:numId w:val="84"/>
        </w:numPr>
        <w:autoSpaceDN w:val="0"/>
        <w:ind w:left="709" w:hanging="357"/>
        <w:contextualSpacing/>
        <w:textAlignment w:val="baseline"/>
        <w:rPr>
          <w:rFonts w:cs="Tahoma"/>
          <w:szCs w:val="20"/>
        </w:rPr>
      </w:pPr>
      <w:r w:rsidRPr="00CC00D4">
        <w:rPr>
          <w:rFonts w:cs="Tahoma"/>
          <w:szCs w:val="20"/>
        </w:rPr>
        <w:t>Comunicare direttamente con gli operatori INPS al fine di gestire eventuali irregolarità o scoperture contributive;</w:t>
      </w:r>
    </w:p>
    <w:p w14:paraId="3B510252" w14:textId="77777777" w:rsidR="002558B3" w:rsidRPr="00CC00D4" w:rsidRDefault="002558B3">
      <w:pPr>
        <w:pStyle w:val="Paragrafoelenco"/>
        <w:numPr>
          <w:ilvl w:val="0"/>
          <w:numId w:val="84"/>
        </w:numPr>
        <w:autoSpaceDN w:val="0"/>
        <w:ind w:left="709"/>
        <w:textAlignment w:val="baseline"/>
        <w:rPr>
          <w:rFonts w:cs="Tahoma"/>
          <w:szCs w:val="20"/>
        </w:rPr>
      </w:pPr>
      <w:r w:rsidRPr="00CC00D4">
        <w:rPr>
          <w:rFonts w:cs="Tahoma"/>
          <w:szCs w:val="20"/>
        </w:rPr>
        <w:t>Gestire le eventuali deleghe rilasciate all’intermediario.</w:t>
      </w:r>
    </w:p>
    <w:p w14:paraId="0DB85939" w14:textId="21A4BB8A"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i soggetti (consulenti del lavoro, commercialisti ecc…) abilitati ad operare in nome e per conto di più aziende, il sistema, dopo l’autenticazione, propone la lista dei delegati identificati con il codice fiscale.</w:t>
      </w:r>
    </w:p>
    <w:p w14:paraId="28243F61" w14:textId="77777777" w:rsidR="00634069" w:rsidRPr="00CC00D4" w:rsidRDefault="00634069">
      <w:pPr>
        <w:suppressAutoHyphens w:val="0"/>
        <w:spacing w:after="0" w:line="240" w:lineRule="auto"/>
        <w:jc w:val="left"/>
        <w:rPr>
          <w:rFonts w:cs="Tahoma"/>
          <w:b/>
          <w:bCs/>
          <w:color w:val="000000"/>
          <w:sz w:val="22"/>
          <w:u w:val="single"/>
        </w:rPr>
      </w:pPr>
      <w:bookmarkStart w:id="115" w:name="__RefHeading__4414_1479815270"/>
      <w:bookmarkStart w:id="116" w:name="_Toc92386473"/>
      <w:r w:rsidRPr="00CC00D4">
        <w:br w:type="page"/>
      </w:r>
    </w:p>
    <w:p w14:paraId="7443A1A4" w14:textId="3541609D" w:rsidR="002558B3" w:rsidRPr="00CC00D4" w:rsidRDefault="002558B3" w:rsidP="009E4A78">
      <w:pPr>
        <w:pStyle w:val="Titolo2"/>
      </w:pPr>
      <w:bookmarkStart w:id="117" w:name="_Toc124266241"/>
      <w:r w:rsidRPr="00CC00D4">
        <w:lastRenderedPageBreak/>
        <w:t>3.5 Contribuzione</w:t>
      </w:r>
      <w:bookmarkEnd w:id="115"/>
      <w:bookmarkEnd w:id="116"/>
      <w:bookmarkEnd w:id="117"/>
    </w:p>
    <w:p w14:paraId="619D0AC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Nei loro rapporti con l’INPS, i lavoratori autonomi occasionali, alla stregua di quanto avviene per i collaboratori coordinati e continuativi ed a differenza dei dipendenti, scontano un carico contributivo identico a prescindere dal settore produttivo in cui prestano l’attività.</w:t>
      </w:r>
    </w:p>
    <w:p w14:paraId="60B3A4B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Altra particolarità (questa volta peculiare dei soli lavoratori autonomi occasionali) è la contribuzione dovuta sui soli redditi eccedenti i 5 mila euro annui.</w:t>
      </w:r>
    </w:p>
    <w:p w14:paraId="66C42A8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L’aliquota INPS, differenziata in base ai soggetti iscritti o meno in via esclusiva alla Gestione Separata, è ripartita in:</w:t>
      </w:r>
    </w:p>
    <w:p w14:paraId="0EA0292E" w14:textId="77777777" w:rsidR="002558B3" w:rsidRPr="00CC00D4" w:rsidRDefault="002558B3">
      <w:pPr>
        <w:pStyle w:val="Paragrafoelenco"/>
        <w:numPr>
          <w:ilvl w:val="0"/>
          <w:numId w:val="85"/>
        </w:numPr>
        <w:autoSpaceDN w:val="0"/>
        <w:ind w:left="709" w:hanging="357"/>
        <w:contextualSpacing/>
        <w:textAlignment w:val="baseline"/>
        <w:rPr>
          <w:rFonts w:cs="Tahoma"/>
          <w:szCs w:val="20"/>
        </w:rPr>
      </w:pPr>
      <w:r w:rsidRPr="00CC00D4">
        <w:rPr>
          <w:rFonts w:cs="Tahoma"/>
          <w:bCs/>
          <w:szCs w:val="20"/>
        </w:rPr>
        <w:t>1/3 a carico del lavoratore;</w:t>
      </w:r>
    </w:p>
    <w:p w14:paraId="2AB34D04" w14:textId="6929FDEB" w:rsidR="002558B3" w:rsidRPr="00CC00D4" w:rsidRDefault="002558B3" w:rsidP="002558B3">
      <w:pPr>
        <w:pStyle w:val="Paragrafoelenco"/>
        <w:numPr>
          <w:ilvl w:val="0"/>
          <w:numId w:val="85"/>
        </w:numPr>
        <w:autoSpaceDN w:val="0"/>
        <w:ind w:left="709"/>
        <w:textAlignment w:val="baseline"/>
        <w:rPr>
          <w:rFonts w:cs="Tahoma"/>
          <w:szCs w:val="20"/>
        </w:rPr>
      </w:pPr>
      <w:r w:rsidRPr="00CC00D4">
        <w:rPr>
          <w:rFonts w:cs="Tahoma"/>
          <w:bCs/>
          <w:szCs w:val="20"/>
        </w:rPr>
        <w:t>2/3 in capo al committente.</w:t>
      </w:r>
    </w:p>
    <w:p w14:paraId="47D096EF" w14:textId="77777777" w:rsidR="00634069" w:rsidRPr="00CC00D4" w:rsidRDefault="00634069" w:rsidP="009E4A78">
      <w:pPr>
        <w:pStyle w:val="Titolo2"/>
      </w:pPr>
      <w:bookmarkStart w:id="118" w:name="__RefHeading__4416_1479815270"/>
      <w:bookmarkStart w:id="119" w:name="_Toc92386474"/>
    </w:p>
    <w:p w14:paraId="3B9E6254" w14:textId="11A025A3" w:rsidR="002558B3" w:rsidRPr="00CC00D4" w:rsidRDefault="002558B3" w:rsidP="009E4A78">
      <w:pPr>
        <w:pStyle w:val="Titolo2"/>
      </w:pPr>
      <w:bookmarkStart w:id="120" w:name="_Toc124266242"/>
      <w:r w:rsidRPr="00CC00D4">
        <w:t>3.6 Iscritti in via esclusiva alla Gestione Separata</w:t>
      </w:r>
      <w:bookmarkEnd w:id="118"/>
      <w:bookmarkEnd w:id="119"/>
      <w:bookmarkEnd w:id="120"/>
    </w:p>
    <w:p w14:paraId="462EFC1E" w14:textId="68AF6558"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L’aliquota contributiva dovuta per l’anno </w:t>
      </w:r>
      <w:r w:rsidR="008673AD" w:rsidRPr="00CC00D4">
        <w:rPr>
          <w:rFonts w:ascii="Tahoma" w:hAnsi="Tahoma" w:cs="Tahoma"/>
          <w:bCs/>
          <w:kern w:val="0"/>
          <w:sz w:val="20"/>
          <w:szCs w:val="20"/>
        </w:rPr>
        <w:t>2022</w:t>
      </w:r>
      <w:r w:rsidRPr="00CC00D4">
        <w:rPr>
          <w:rFonts w:ascii="Tahoma" w:hAnsi="Tahoma" w:cs="Tahoma"/>
          <w:bCs/>
          <w:kern w:val="0"/>
          <w:sz w:val="20"/>
          <w:szCs w:val="20"/>
        </w:rPr>
        <w:t xml:space="preserve"> da parte dei soggetti iscritti in via esclusiva alla Gestione Separata (</w:t>
      </w:r>
      <w:hyperlink r:id="rId35" w:history="1">
        <w:r w:rsidR="008673AD" w:rsidRPr="00CC00D4">
          <w:rPr>
            <w:rStyle w:val="Collegamentoipertestuale"/>
            <w:rFonts w:ascii="Tahoma" w:hAnsi="Tahoma" w:cs="Tahoma"/>
            <w:bCs/>
            <w:kern w:val="0"/>
            <w:sz w:val="20"/>
            <w:szCs w:val="20"/>
          </w:rPr>
          <w:t>Circolare INPS 11 febbraio 2022 numero 25</w:t>
        </w:r>
      </w:hyperlink>
      <w:r w:rsidRPr="00CC00D4">
        <w:rPr>
          <w:rFonts w:ascii="Tahoma" w:hAnsi="Tahoma" w:cs="Tahoma"/>
          <w:bCs/>
          <w:kern w:val="0"/>
          <w:sz w:val="20"/>
          <w:szCs w:val="20"/>
        </w:rPr>
        <w:t>) è pari alla somma tra:</w:t>
      </w:r>
    </w:p>
    <w:p w14:paraId="138AEF4E" w14:textId="4E5B0810" w:rsidR="002558B3" w:rsidRPr="00CC00D4" w:rsidRDefault="002558B3">
      <w:pPr>
        <w:pStyle w:val="Paragrafoelenco"/>
        <w:numPr>
          <w:ilvl w:val="0"/>
          <w:numId w:val="89"/>
        </w:numPr>
        <w:autoSpaceDN w:val="0"/>
        <w:ind w:left="709" w:hanging="357"/>
        <w:contextualSpacing/>
        <w:textAlignment w:val="baseline"/>
        <w:rPr>
          <w:rFonts w:cs="Tahoma"/>
          <w:szCs w:val="20"/>
        </w:rPr>
      </w:pPr>
      <w:r w:rsidRPr="00CC00D4">
        <w:rPr>
          <w:rFonts w:cs="Tahoma"/>
          <w:bCs/>
          <w:szCs w:val="20"/>
        </w:rPr>
        <w:t>Contributo per l’assicurazione per invalidità, vecchiaia e superstiti pari, per il 202</w:t>
      </w:r>
      <w:r w:rsidR="009C11E3" w:rsidRPr="00CC00D4">
        <w:rPr>
          <w:rFonts w:cs="Tahoma"/>
          <w:bCs/>
          <w:szCs w:val="20"/>
        </w:rPr>
        <w:t>2</w:t>
      </w:r>
      <w:r w:rsidRPr="00CC00D4">
        <w:rPr>
          <w:rFonts w:cs="Tahoma"/>
          <w:bCs/>
          <w:szCs w:val="20"/>
        </w:rPr>
        <w:t>, al 33%;</w:t>
      </w:r>
    </w:p>
    <w:p w14:paraId="540B4619" w14:textId="68FD1A36" w:rsidR="002558B3" w:rsidRPr="00CC00D4" w:rsidRDefault="002558B3">
      <w:pPr>
        <w:pStyle w:val="Paragrafoelenco"/>
        <w:numPr>
          <w:ilvl w:val="0"/>
          <w:numId w:val="89"/>
        </w:numPr>
        <w:autoSpaceDN w:val="0"/>
        <w:ind w:left="709"/>
        <w:textAlignment w:val="baseline"/>
        <w:rPr>
          <w:rFonts w:cs="Tahoma"/>
          <w:szCs w:val="20"/>
        </w:rPr>
      </w:pPr>
      <w:r w:rsidRPr="00CC00D4">
        <w:rPr>
          <w:rFonts w:cs="Tahoma"/>
          <w:bCs/>
          <w:szCs w:val="20"/>
        </w:rPr>
        <w:t>Contributo destinato alle prestazioni temporanee di maternità, assegni nucleo familiare e malattia pari, per il 202</w:t>
      </w:r>
      <w:r w:rsidR="009C11E3" w:rsidRPr="00CC00D4">
        <w:rPr>
          <w:rFonts w:cs="Tahoma"/>
          <w:bCs/>
          <w:szCs w:val="20"/>
        </w:rPr>
        <w:t>2</w:t>
      </w:r>
      <w:r w:rsidRPr="00CC00D4">
        <w:rPr>
          <w:rFonts w:cs="Tahoma"/>
          <w:bCs/>
          <w:szCs w:val="20"/>
        </w:rPr>
        <w:t>, allo 0,72%.</w:t>
      </w:r>
    </w:p>
    <w:p w14:paraId="4F8D00D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complesso, pertanto, la contribuzione alla Gestione Separata ammonta al 33,72% di cui 1/3 a carico del lavoratore (pari all’11,24%) ed i 2/3 restanti (22,48%) in capo al committente.</w:t>
      </w:r>
    </w:p>
    <w:p w14:paraId="5F0FBCE6" w14:textId="782E1C39" w:rsidR="00E74A8D" w:rsidRPr="00CC00D4" w:rsidRDefault="002558B3" w:rsidP="009E4A78">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differenza dei collaboratori coordinati e continuativi, per i lavoratori autonomi occasionali non è prevista alcuna aliquota (</w:t>
      </w:r>
      <w:r w:rsidR="008673AD" w:rsidRPr="00CC00D4">
        <w:rPr>
          <w:rFonts w:ascii="Tahoma" w:hAnsi="Tahoma" w:cs="Tahoma"/>
          <w:bCs/>
          <w:kern w:val="0"/>
          <w:sz w:val="20"/>
          <w:szCs w:val="20"/>
        </w:rPr>
        <w:t>pari all’1,31</w:t>
      </w:r>
      <w:r w:rsidRPr="00CC00D4">
        <w:rPr>
          <w:rFonts w:ascii="Tahoma" w:hAnsi="Tahoma" w:cs="Tahoma"/>
          <w:bCs/>
          <w:kern w:val="0"/>
          <w:sz w:val="20"/>
          <w:szCs w:val="20"/>
        </w:rPr>
        <w:t>%) a finanziamento dell’indennità di disoccupazione DIS-COLL.</w:t>
      </w:r>
      <w:bookmarkStart w:id="121" w:name="__RefHeading__4418_1479815270"/>
      <w:bookmarkStart w:id="122" w:name="_Toc92386475"/>
    </w:p>
    <w:p w14:paraId="03769232" w14:textId="77777777" w:rsidR="00634069" w:rsidRPr="00CC00D4" w:rsidRDefault="00634069" w:rsidP="009E4A78">
      <w:pPr>
        <w:pStyle w:val="Titolo2"/>
      </w:pPr>
    </w:p>
    <w:p w14:paraId="4AB55DC9" w14:textId="283B3BEC" w:rsidR="002558B3" w:rsidRPr="00CC00D4" w:rsidRDefault="002558B3" w:rsidP="009E4A78">
      <w:pPr>
        <w:pStyle w:val="Titolo2"/>
      </w:pPr>
      <w:bookmarkStart w:id="123" w:name="_Toc124266243"/>
      <w:r w:rsidRPr="00CC00D4">
        <w:t>3.7 Iscritti già pensionati o assicurati presso altre forme previdenziali obbligatorie</w:t>
      </w:r>
      <w:bookmarkEnd w:id="121"/>
      <w:bookmarkEnd w:id="122"/>
      <w:bookmarkEnd w:id="123"/>
    </w:p>
    <w:p w14:paraId="4C0D8211" w14:textId="41AB9E46"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soggetti già pensionati o iscritti ad altre forme di previdenza obbligatoria, sono tenuti a versare una contribuzione alla Gestione Separata ridotta, fissata dall’INPS (Circolare INPS</w:t>
      </w:r>
      <w:r w:rsidR="008673AD" w:rsidRPr="00CC00D4">
        <w:rPr>
          <w:rFonts w:ascii="Tahoma" w:hAnsi="Tahoma" w:cs="Tahoma"/>
          <w:bCs/>
          <w:kern w:val="0"/>
          <w:sz w:val="20"/>
          <w:szCs w:val="20"/>
        </w:rPr>
        <w:t xml:space="preserve"> 11 febbraio 2022 numero 25</w:t>
      </w:r>
      <w:r w:rsidRPr="00CC00D4">
        <w:rPr>
          <w:rFonts w:ascii="Tahoma" w:hAnsi="Tahoma" w:cs="Tahoma"/>
          <w:bCs/>
          <w:kern w:val="0"/>
          <w:sz w:val="20"/>
          <w:szCs w:val="20"/>
        </w:rPr>
        <w:t xml:space="preserve">) in misura pari, per il </w:t>
      </w:r>
      <w:r w:rsidR="008673AD" w:rsidRPr="00CC00D4">
        <w:rPr>
          <w:rFonts w:ascii="Tahoma" w:hAnsi="Tahoma" w:cs="Tahoma"/>
          <w:bCs/>
          <w:kern w:val="0"/>
          <w:sz w:val="20"/>
          <w:szCs w:val="20"/>
        </w:rPr>
        <w:t>2022</w:t>
      </w:r>
      <w:r w:rsidRPr="00CC00D4">
        <w:rPr>
          <w:rFonts w:ascii="Tahoma" w:hAnsi="Tahoma" w:cs="Tahoma"/>
          <w:bCs/>
          <w:kern w:val="0"/>
          <w:sz w:val="20"/>
          <w:szCs w:val="20"/>
        </w:rPr>
        <w:t>, al 24% di cui l’8% a carico del lavoratore.</w:t>
      </w:r>
    </w:p>
    <w:p w14:paraId="22D45B09" w14:textId="77777777" w:rsidR="00634069" w:rsidRPr="00CC00D4" w:rsidRDefault="00634069" w:rsidP="009E4A78">
      <w:pPr>
        <w:pStyle w:val="Titolo2"/>
      </w:pPr>
      <w:bookmarkStart w:id="124" w:name="__RefHeading__4420_1479815270"/>
      <w:bookmarkStart w:id="125" w:name="_Toc92386476"/>
    </w:p>
    <w:p w14:paraId="3D43A8C8" w14:textId="76D34A3F" w:rsidR="002558B3" w:rsidRPr="00CC00D4" w:rsidRDefault="002558B3" w:rsidP="009E4A78">
      <w:pPr>
        <w:pStyle w:val="Titolo2"/>
      </w:pPr>
      <w:bookmarkStart w:id="126" w:name="_Toc124266244"/>
      <w:r w:rsidRPr="00CC00D4">
        <w:lastRenderedPageBreak/>
        <w:t>3.8 Base imponibile</w:t>
      </w:r>
      <w:bookmarkEnd w:id="124"/>
      <w:bookmarkEnd w:id="125"/>
      <w:bookmarkEnd w:id="126"/>
    </w:p>
    <w:p w14:paraId="67AEDBF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compenso percepito dal lavoratore autonomo occasionale è soggetto, per la parte che eccede i 5 mila euro nell’anno solare, al prelievo contributivo con l’aliquota del 2</w:t>
      </w:r>
      <w:r w:rsidR="000E19A4" w:rsidRPr="00CC00D4">
        <w:rPr>
          <w:rFonts w:ascii="Tahoma" w:hAnsi="Tahoma" w:cs="Tahoma"/>
          <w:bCs/>
          <w:kern w:val="0"/>
          <w:sz w:val="20"/>
          <w:szCs w:val="20"/>
        </w:rPr>
        <w:t>4 o 33,72% (valevoli per il 2022</w:t>
      </w:r>
      <w:r w:rsidRPr="00CC00D4">
        <w:rPr>
          <w:rFonts w:ascii="Tahoma" w:hAnsi="Tahoma" w:cs="Tahoma"/>
          <w:bCs/>
          <w:kern w:val="0"/>
          <w:sz w:val="20"/>
          <w:szCs w:val="20"/>
        </w:rPr>
        <w:t>).</w:t>
      </w:r>
    </w:p>
    <w:p w14:paraId="3A3A8939" w14:textId="4B5BF5B9"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contribuzione previdenziale (Circolare INPS 6 luglio 2004 numero 103) deve “</w:t>
      </w:r>
      <w:r w:rsidRPr="00CC00D4">
        <w:rPr>
          <w:rFonts w:ascii="Tahoma" w:hAnsi="Tahoma" w:cs="Tahoma"/>
          <w:bCs/>
          <w:i/>
          <w:kern w:val="0"/>
          <w:sz w:val="20"/>
          <w:szCs w:val="20"/>
        </w:rPr>
        <w:t>essere applicata sul compenso lordo erogato al lavoratore, dedotte le spese poste a carico del committente e risultanti</w:t>
      </w:r>
      <w:r w:rsidRPr="00CC00D4">
        <w:rPr>
          <w:rFonts w:ascii="Tahoma" w:hAnsi="Tahoma" w:cs="Tahoma"/>
          <w:bCs/>
          <w:kern w:val="0"/>
          <w:sz w:val="20"/>
          <w:szCs w:val="20"/>
        </w:rPr>
        <w:t>” dalla nota di pagamento</w:t>
      </w:r>
      <w:r w:rsidR="009E4A78" w:rsidRPr="00CC00D4">
        <w:rPr>
          <w:rFonts w:ascii="Tahoma" w:hAnsi="Tahoma" w:cs="Tahoma"/>
          <w:bCs/>
          <w:kern w:val="0"/>
          <w:sz w:val="20"/>
          <w:szCs w:val="20"/>
        </w:rPr>
        <w:t xml:space="preserve">. </w:t>
      </w:r>
    </w:p>
    <w:p w14:paraId="5708F52C" w14:textId="77777777" w:rsidR="009E4A78" w:rsidRPr="00CC00D4" w:rsidRDefault="009E4A78" w:rsidP="002558B3">
      <w:pPr>
        <w:pStyle w:val="Standard"/>
        <w:spacing w:after="200" w:line="360" w:lineRule="auto"/>
        <w:jc w:val="both"/>
        <w:rPr>
          <w:rFonts w:ascii="Tahoma" w:hAnsi="Tahoma" w:cs="Tahoma"/>
          <w:bCs/>
          <w:kern w:val="0"/>
          <w:sz w:val="20"/>
          <w:szCs w:val="20"/>
        </w:rPr>
      </w:pPr>
    </w:p>
    <w:p w14:paraId="43EDFC23" w14:textId="7EB3793B" w:rsidR="002558B3" w:rsidRPr="00CC00D4" w:rsidRDefault="002558B3" w:rsidP="009E4A78">
      <w:pPr>
        <w:pStyle w:val="Titolo2"/>
      </w:pPr>
      <w:bookmarkStart w:id="127" w:name="__RefHeading__4422_1479815270"/>
      <w:bookmarkStart w:id="128" w:name="_Toc92386477"/>
      <w:bookmarkStart w:id="129" w:name="_Toc124266245"/>
      <w:r w:rsidRPr="00CC00D4">
        <w:t>3.9 Calcolo INPS: lavoratore non iscritto ad altra forma previdenziale né pensionato</w:t>
      </w:r>
      <w:bookmarkEnd w:id="127"/>
      <w:bookmarkEnd w:id="128"/>
      <w:bookmarkEnd w:id="129"/>
    </w:p>
    <w:p w14:paraId="1BEE9CC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Prendiamo il caso di un lavoratore occasionale non iscritto ad altra forma previdenziale.</w:t>
      </w:r>
    </w:p>
    <w:p w14:paraId="2C00BAB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compenso complessivo è pari ad euro 8.500,00 di conseguenza l’imponibile INPS ammonta ad euro 8.500 – 5.000 = 3.500,00 euro (parte eccedente la franchigia).</w:t>
      </w:r>
    </w:p>
    <w:p w14:paraId="330791B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questo punto sarà sufficiente calcolare:</w:t>
      </w:r>
    </w:p>
    <w:p w14:paraId="446ECD49" w14:textId="77777777" w:rsidR="002558B3" w:rsidRPr="00CC00D4" w:rsidRDefault="002558B3">
      <w:pPr>
        <w:pStyle w:val="Paragrafoelenco"/>
        <w:numPr>
          <w:ilvl w:val="0"/>
          <w:numId w:val="91"/>
        </w:numPr>
        <w:autoSpaceDN w:val="0"/>
        <w:ind w:left="709" w:hanging="357"/>
        <w:contextualSpacing/>
        <w:textAlignment w:val="baseline"/>
        <w:rPr>
          <w:rFonts w:cs="Tahoma"/>
          <w:szCs w:val="20"/>
        </w:rPr>
      </w:pPr>
      <w:r w:rsidRPr="00CC00D4">
        <w:rPr>
          <w:rFonts w:cs="Tahoma"/>
          <w:bCs/>
          <w:szCs w:val="20"/>
        </w:rPr>
        <w:t>Contributi a carico del lavoratore pari ad 1/3 del totale (11,24%) equivalenti ad euro 3.500 * 11,24% = 393,40;</w:t>
      </w:r>
    </w:p>
    <w:p w14:paraId="69C64A40" w14:textId="77777777" w:rsidR="002558B3" w:rsidRPr="00CC00D4" w:rsidRDefault="002558B3">
      <w:pPr>
        <w:pStyle w:val="Paragrafoelenco"/>
        <w:numPr>
          <w:ilvl w:val="0"/>
          <w:numId w:val="91"/>
        </w:numPr>
        <w:autoSpaceDN w:val="0"/>
        <w:ind w:left="709"/>
        <w:textAlignment w:val="baseline"/>
        <w:rPr>
          <w:rFonts w:cs="Tahoma"/>
          <w:szCs w:val="20"/>
        </w:rPr>
      </w:pPr>
      <w:r w:rsidRPr="00CC00D4">
        <w:rPr>
          <w:rFonts w:cs="Tahoma"/>
          <w:bCs/>
          <w:szCs w:val="20"/>
        </w:rPr>
        <w:t>Contributi a carico committente con aliquota 22,48% (2/3 del totale) equivalente ad euro 3.500 * 22,48% = 786,80.</w:t>
      </w:r>
    </w:p>
    <w:p w14:paraId="712C6A0C" w14:textId="33C2E944" w:rsidR="002558B3" w:rsidRPr="00CC00D4" w:rsidRDefault="002558B3"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Il committente dovrà versare con modello F24 i contributi INPS complessivamente dovuti (euro 1.180,20) e rivalersi per euro 393,40 sul compenso da riconoscere al lavoratore.</w:t>
      </w:r>
    </w:p>
    <w:p w14:paraId="577BA62D" w14:textId="77777777" w:rsidR="009E4A78" w:rsidRPr="00CC00D4" w:rsidRDefault="009E4A78" w:rsidP="002558B3">
      <w:pPr>
        <w:pStyle w:val="Standard"/>
        <w:spacing w:after="200" w:line="360" w:lineRule="auto"/>
        <w:jc w:val="both"/>
        <w:rPr>
          <w:rFonts w:ascii="Tahoma" w:hAnsi="Tahoma" w:cs="Tahoma"/>
          <w:kern w:val="0"/>
          <w:sz w:val="20"/>
          <w:szCs w:val="20"/>
        </w:rPr>
      </w:pPr>
    </w:p>
    <w:p w14:paraId="4FED3F20" w14:textId="5F0F8A7D" w:rsidR="002558B3" w:rsidRPr="00CC00D4" w:rsidRDefault="002558B3" w:rsidP="009E4A78">
      <w:pPr>
        <w:pStyle w:val="Titolo2"/>
      </w:pPr>
      <w:bookmarkStart w:id="130" w:name="__RefHeading__4424_1479815270"/>
      <w:bookmarkStart w:id="131" w:name="_Toc92386478"/>
      <w:bookmarkStart w:id="132" w:name="_Toc124266246"/>
      <w:r w:rsidRPr="00CC00D4">
        <w:t>3.10 Calcolo INPS: lavoratore iscritto ad altra forma previdenziale o pensionato</w:t>
      </w:r>
      <w:bookmarkEnd w:id="130"/>
      <w:bookmarkEnd w:id="131"/>
      <w:bookmarkEnd w:id="132"/>
    </w:p>
    <w:p w14:paraId="7AF13654" w14:textId="53F0D92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Riprendendo l’esempio precedente (compenso 8.500,00 euro) ed ipotizzando il caso di un lavoratore autonomo iscritto ad altra forma previdenziale o pensionato, noteremo che il peso contributivo è inferiore, posto che l’aliquota INPS complessiva è del 24% in luogo del 33,72%.</w:t>
      </w:r>
    </w:p>
    <w:p w14:paraId="12BE248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DI conseguenza, fermo restando che la base imponibile è ancora pari ad euro 8.500 – 5.000 = 3.500 euro, gli importi dovuti all’INPS saranno:</w:t>
      </w:r>
    </w:p>
    <w:p w14:paraId="238C6487" w14:textId="77777777" w:rsidR="002558B3" w:rsidRPr="00CC00D4" w:rsidRDefault="002558B3">
      <w:pPr>
        <w:pStyle w:val="Paragrafoelenco"/>
        <w:numPr>
          <w:ilvl w:val="0"/>
          <w:numId w:val="90"/>
        </w:numPr>
        <w:autoSpaceDN w:val="0"/>
        <w:ind w:left="709" w:hanging="357"/>
        <w:contextualSpacing/>
        <w:textAlignment w:val="baseline"/>
        <w:rPr>
          <w:rFonts w:cs="Tahoma"/>
          <w:szCs w:val="20"/>
        </w:rPr>
      </w:pPr>
      <w:r w:rsidRPr="00CC00D4">
        <w:rPr>
          <w:rFonts w:cs="Tahoma"/>
          <w:bCs/>
          <w:szCs w:val="20"/>
        </w:rPr>
        <w:t>Contributi a carico del lavoratore con aliquota all’8% (1/3 del totale) equivalente ad euro 3.500 * 8% = 280,00 euro;</w:t>
      </w:r>
    </w:p>
    <w:p w14:paraId="5BF950D4" w14:textId="77777777" w:rsidR="002558B3" w:rsidRPr="00CC00D4" w:rsidRDefault="002558B3">
      <w:pPr>
        <w:pStyle w:val="Paragrafoelenco"/>
        <w:numPr>
          <w:ilvl w:val="0"/>
          <w:numId w:val="90"/>
        </w:numPr>
        <w:autoSpaceDN w:val="0"/>
        <w:ind w:left="709"/>
        <w:textAlignment w:val="baseline"/>
        <w:rPr>
          <w:rFonts w:cs="Tahoma"/>
          <w:szCs w:val="20"/>
        </w:rPr>
      </w:pPr>
      <w:r w:rsidRPr="00CC00D4">
        <w:rPr>
          <w:rFonts w:cs="Tahoma"/>
          <w:bCs/>
          <w:szCs w:val="20"/>
        </w:rPr>
        <w:lastRenderedPageBreak/>
        <w:t>Contributi a carico del committente aliquota 16% (2/3 del totale) equivalente ad euro 3.500 * 16% = 560,00 euro.</w:t>
      </w:r>
    </w:p>
    <w:p w14:paraId="069EC14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Come nell’esempio di cui al paragrafo precedente il committente dovrà versare all’INPS – Gestione Separata (con modello F24) la somma complessiva di 840,00 euro e rivalersi sul lavoratore trattenendo i contributi a carico di quest’ultimo pari ad euro 280,00.</w:t>
      </w:r>
    </w:p>
    <w:p w14:paraId="1369F96B" w14:textId="77777777" w:rsidR="002558B3" w:rsidRPr="00CC00D4" w:rsidRDefault="002558B3" w:rsidP="002558B3">
      <w:pPr>
        <w:pStyle w:val="Standard"/>
        <w:spacing w:after="200" w:line="360" w:lineRule="auto"/>
        <w:jc w:val="both"/>
        <w:rPr>
          <w:rFonts w:ascii="Tahoma" w:hAnsi="Tahoma" w:cs="Tahoma"/>
          <w:b/>
          <w:i/>
          <w:kern w:val="0"/>
          <w:sz w:val="20"/>
          <w:szCs w:val="20"/>
          <w:u w:val="single"/>
        </w:rPr>
      </w:pPr>
    </w:p>
    <w:p w14:paraId="639246ED" w14:textId="395EB9B7" w:rsidR="002558B3" w:rsidRPr="00CC00D4" w:rsidRDefault="002558B3" w:rsidP="009E4A78">
      <w:pPr>
        <w:pStyle w:val="Titolo2"/>
      </w:pPr>
      <w:bookmarkStart w:id="133" w:name="__RefHeading__4426_1479815270"/>
      <w:bookmarkStart w:id="134" w:name="_Toc92386479"/>
      <w:bookmarkStart w:id="135" w:name="_Toc124266247"/>
      <w:r w:rsidRPr="00CC00D4">
        <w:t>3.11 Massimale contributivo</w:t>
      </w:r>
      <w:bookmarkEnd w:id="133"/>
      <w:bookmarkEnd w:id="134"/>
      <w:bookmarkEnd w:id="135"/>
    </w:p>
    <w:p w14:paraId="7DB7CFC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contributi alla Gestione Separata sono dovuti entro il massimale di reddito imponibile comunicato ogni anno dall’INPS e pari, per il 202</w:t>
      </w:r>
      <w:r w:rsidR="000E19A4" w:rsidRPr="00CC00D4">
        <w:rPr>
          <w:rFonts w:ascii="Tahoma" w:hAnsi="Tahoma" w:cs="Tahoma"/>
          <w:bCs/>
          <w:kern w:val="0"/>
          <w:sz w:val="20"/>
          <w:szCs w:val="20"/>
        </w:rPr>
        <w:t>2</w:t>
      </w:r>
      <w:r w:rsidRPr="00CC00D4">
        <w:rPr>
          <w:rFonts w:ascii="Tahoma" w:hAnsi="Tahoma" w:cs="Tahoma"/>
          <w:bCs/>
          <w:kern w:val="0"/>
          <w:sz w:val="20"/>
          <w:szCs w:val="20"/>
        </w:rPr>
        <w:t xml:space="preserve">, ad euro </w:t>
      </w:r>
      <w:r w:rsidR="000E19A4" w:rsidRPr="00CC00D4">
        <w:rPr>
          <w:rFonts w:ascii="Tahoma" w:hAnsi="Tahoma" w:cs="Tahoma"/>
          <w:bCs/>
          <w:kern w:val="0"/>
          <w:sz w:val="20"/>
          <w:szCs w:val="20"/>
        </w:rPr>
        <w:t>105.014</w:t>
      </w:r>
      <w:r w:rsidRPr="00CC00D4">
        <w:rPr>
          <w:rFonts w:ascii="Tahoma" w:hAnsi="Tahoma" w:cs="Tahoma"/>
          <w:bCs/>
          <w:kern w:val="0"/>
          <w:sz w:val="20"/>
          <w:szCs w:val="20"/>
        </w:rPr>
        <w:t xml:space="preserve">,00 (Circolare INPS </w:t>
      </w:r>
      <w:r w:rsidR="000E19A4" w:rsidRPr="00CC00D4">
        <w:rPr>
          <w:rFonts w:ascii="Tahoma" w:hAnsi="Tahoma" w:cs="Tahoma"/>
          <w:bCs/>
          <w:kern w:val="0"/>
          <w:sz w:val="20"/>
          <w:szCs w:val="20"/>
        </w:rPr>
        <w:t>11 febbraio 2022 numero 25</w:t>
      </w:r>
      <w:r w:rsidRPr="00CC00D4">
        <w:rPr>
          <w:rFonts w:ascii="Tahoma" w:hAnsi="Tahoma" w:cs="Tahoma"/>
          <w:bCs/>
          <w:kern w:val="0"/>
          <w:sz w:val="20"/>
          <w:szCs w:val="20"/>
        </w:rPr>
        <w:t>).</w:t>
      </w:r>
    </w:p>
    <w:p w14:paraId="0FAA2144"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0CCAF4D0" w14:textId="07D5A00A" w:rsidR="002558B3" w:rsidRPr="00CC00D4" w:rsidRDefault="002558B3" w:rsidP="009E4A78">
      <w:pPr>
        <w:pStyle w:val="Titolo2"/>
      </w:pPr>
      <w:bookmarkStart w:id="136" w:name="__RefHeading__4428_1479815270"/>
      <w:bookmarkStart w:id="137" w:name="_Toc92386480"/>
      <w:bookmarkStart w:id="138" w:name="_Toc124266248"/>
      <w:r w:rsidRPr="00CC00D4">
        <w:t>3.12 Versamento dei contributi</w:t>
      </w:r>
      <w:bookmarkEnd w:id="136"/>
      <w:bookmarkEnd w:id="137"/>
      <w:bookmarkEnd w:id="138"/>
    </w:p>
    <w:p w14:paraId="611E917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Circolare INPS del 6 luglio 2004 numero 103 chiarisce che superata “</w:t>
      </w:r>
      <w:r w:rsidRPr="00CC00D4">
        <w:rPr>
          <w:rFonts w:ascii="Tahoma" w:hAnsi="Tahoma" w:cs="Tahoma"/>
          <w:bCs/>
          <w:i/>
          <w:iCs/>
          <w:kern w:val="0"/>
          <w:sz w:val="20"/>
          <w:szCs w:val="20"/>
        </w:rPr>
        <w:t>dal singolo lavoratore, in riferimento a ciascun anno solare, la fascia di esenzione di euro 5.000, il committente o i committenti interessati devono versare i contributi sugli ulteriori emolumenti dagli stessi corrisposti nel predetto anno, con le modalità ed i termini previsti per i collaboratori coordinati e continuativi</w:t>
      </w:r>
      <w:r w:rsidRPr="00CC00D4">
        <w:rPr>
          <w:rFonts w:ascii="Tahoma" w:hAnsi="Tahoma" w:cs="Tahoma"/>
          <w:bCs/>
          <w:kern w:val="0"/>
          <w:sz w:val="20"/>
          <w:szCs w:val="20"/>
        </w:rPr>
        <w:t>” ed in particolare “</w:t>
      </w:r>
      <w:r w:rsidRPr="00CC00D4">
        <w:rPr>
          <w:rFonts w:ascii="Tahoma" w:hAnsi="Tahoma" w:cs="Tahoma"/>
          <w:bCs/>
          <w:i/>
          <w:iCs/>
          <w:kern w:val="0"/>
          <w:sz w:val="20"/>
          <w:szCs w:val="20"/>
        </w:rPr>
        <w:t>entro il giorno 16 del mese successivo al relativo pagamento</w:t>
      </w:r>
      <w:r w:rsidRPr="00CC00D4">
        <w:rPr>
          <w:rFonts w:ascii="Tahoma" w:hAnsi="Tahoma" w:cs="Tahoma"/>
          <w:bCs/>
          <w:kern w:val="0"/>
          <w:sz w:val="20"/>
          <w:szCs w:val="20"/>
        </w:rPr>
        <w:t>” a mezzo modello F24 ed “</w:t>
      </w:r>
      <w:r w:rsidRPr="00CC00D4">
        <w:rPr>
          <w:rFonts w:ascii="Tahoma" w:hAnsi="Tahoma" w:cs="Tahoma"/>
          <w:bCs/>
          <w:i/>
          <w:iCs/>
          <w:kern w:val="0"/>
          <w:sz w:val="20"/>
          <w:szCs w:val="20"/>
        </w:rPr>
        <w:t>utilizzando i codici in uso per le collaborazione coordinate e continuative</w:t>
      </w:r>
      <w:r w:rsidRPr="00CC00D4">
        <w:rPr>
          <w:rFonts w:ascii="Tahoma" w:hAnsi="Tahoma" w:cs="Tahoma"/>
          <w:bCs/>
          <w:kern w:val="0"/>
          <w:sz w:val="20"/>
          <w:szCs w:val="20"/>
        </w:rPr>
        <w:t>”.</w:t>
      </w:r>
    </w:p>
    <w:p w14:paraId="6CC0AF5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funzione del modello F24 è di consentire il versamento unificato di imposte e contributi, consentendo, entro determinati limiti, la compensazione tra debiti e crediti anche di natura diversa.</w:t>
      </w:r>
    </w:p>
    <w:p w14:paraId="3713A6A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documento dev’essere trasmesso anche se il saldo è pari a zero ed eventuali crediti eccedenti possono essere compensati in occasione di versamenti successivi.</w:t>
      </w:r>
    </w:p>
    <w:p w14:paraId="067E6DD3" w14:textId="79CEAF39"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pagamenti contributi INPS e imposte da parte di soggetti titolari di partita IVA devono avvenire esclusivamente per via telematica:</w:t>
      </w:r>
    </w:p>
    <w:p w14:paraId="3B47E1FD" w14:textId="77777777" w:rsidR="002558B3" w:rsidRPr="00CC00D4" w:rsidRDefault="002558B3">
      <w:pPr>
        <w:pStyle w:val="Paragrafoelenco"/>
        <w:numPr>
          <w:ilvl w:val="0"/>
          <w:numId w:val="92"/>
        </w:numPr>
        <w:autoSpaceDN w:val="0"/>
        <w:ind w:left="709" w:hanging="357"/>
        <w:contextualSpacing/>
        <w:textAlignment w:val="baseline"/>
        <w:rPr>
          <w:rFonts w:cs="Tahoma"/>
          <w:szCs w:val="20"/>
        </w:rPr>
      </w:pPr>
      <w:r w:rsidRPr="00CC00D4">
        <w:rPr>
          <w:rFonts w:cs="Tahoma"/>
          <w:bCs/>
          <w:szCs w:val="20"/>
        </w:rPr>
        <w:t>A mezzo pagamento diretto tramite i servizi “F24web” o “F24online”, in alternativa utilizzando i servizi di home o remote banking di banche / Poste Italiane;</w:t>
      </w:r>
    </w:p>
    <w:p w14:paraId="4FB57270" w14:textId="77777777" w:rsidR="002558B3" w:rsidRPr="00CC00D4" w:rsidRDefault="002558B3">
      <w:pPr>
        <w:pStyle w:val="Paragrafoelenco"/>
        <w:numPr>
          <w:ilvl w:val="0"/>
          <w:numId w:val="92"/>
        </w:numPr>
        <w:autoSpaceDN w:val="0"/>
        <w:ind w:left="709"/>
        <w:textAlignment w:val="baseline"/>
        <w:rPr>
          <w:rFonts w:cs="Tahoma"/>
          <w:szCs w:val="20"/>
        </w:rPr>
      </w:pPr>
      <w:r w:rsidRPr="00CC00D4">
        <w:rPr>
          <w:rFonts w:cs="Tahoma"/>
          <w:bCs/>
          <w:szCs w:val="20"/>
        </w:rPr>
        <w:t>Tramite intermediari abilitati attraverso il modello F24 cumulativo (pagamenti effettuati in nome e per conto dei contribuenti con addebito sui loro conti correnti) o F24 con addebito sul conto corrente dell’intermediario.</w:t>
      </w:r>
    </w:p>
    <w:p w14:paraId="7EF410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Al contrario, coloro che sono privi di partita IVA devono utilizzare le modalità telematiche per la presentazione </w:t>
      </w:r>
      <w:r w:rsidRPr="00CC00D4">
        <w:rPr>
          <w:rFonts w:ascii="Tahoma" w:hAnsi="Tahoma" w:cs="Tahoma"/>
          <w:bCs/>
          <w:kern w:val="0"/>
          <w:sz w:val="20"/>
          <w:szCs w:val="20"/>
        </w:rPr>
        <w:lastRenderedPageBreak/>
        <w:t>delle deleghe di pagamento F24 nel caso in cui:</w:t>
      </w:r>
    </w:p>
    <w:p w14:paraId="741B6281" w14:textId="77777777" w:rsidR="002558B3" w:rsidRPr="00CC00D4" w:rsidRDefault="002558B3">
      <w:pPr>
        <w:pStyle w:val="Paragrafoelenco"/>
        <w:numPr>
          <w:ilvl w:val="0"/>
          <w:numId w:val="93"/>
        </w:numPr>
        <w:autoSpaceDN w:val="0"/>
        <w:ind w:left="709" w:hanging="357"/>
        <w:contextualSpacing/>
        <w:textAlignment w:val="baseline"/>
        <w:rPr>
          <w:rFonts w:cs="Tahoma"/>
          <w:szCs w:val="20"/>
        </w:rPr>
      </w:pPr>
      <w:r w:rsidRPr="00CC00D4">
        <w:rPr>
          <w:rFonts w:cs="Tahoma"/>
          <w:bCs/>
          <w:szCs w:val="20"/>
        </w:rPr>
        <w:t>Siano utilizzati crediti in compensazione ed il saldo finale sia pari a zero;</w:t>
      </w:r>
    </w:p>
    <w:p w14:paraId="599EE8C5" w14:textId="77777777" w:rsidR="002558B3" w:rsidRPr="00CC00D4" w:rsidRDefault="002558B3">
      <w:pPr>
        <w:pStyle w:val="Paragrafoelenco"/>
        <w:numPr>
          <w:ilvl w:val="0"/>
          <w:numId w:val="93"/>
        </w:numPr>
        <w:autoSpaceDN w:val="0"/>
        <w:ind w:left="709"/>
        <w:textAlignment w:val="baseline"/>
        <w:rPr>
          <w:rFonts w:cs="Tahoma"/>
          <w:szCs w:val="20"/>
        </w:rPr>
      </w:pPr>
      <w:r w:rsidRPr="00CC00D4">
        <w:rPr>
          <w:rFonts w:cs="Tahoma"/>
          <w:bCs/>
          <w:szCs w:val="20"/>
        </w:rPr>
        <w:t>Siano utilizzati crediti in compensazione ed il saldo finale sia maggiore di zero.</w:t>
      </w:r>
    </w:p>
    <w:p w14:paraId="4054BBC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di fuori delle ipotesi citate i soggetti in parola possono effettuare i versamenti F24 presentando un modello cartaceo presso qualsiasi sportello degli agenti di riscossione, banche convenzionate o uffici postali.</w:t>
      </w:r>
    </w:p>
    <w:p w14:paraId="1EF100EC" w14:textId="77777777" w:rsidR="009E4A78" w:rsidRPr="00CC00D4" w:rsidRDefault="009E4A78" w:rsidP="002558B3">
      <w:pPr>
        <w:pStyle w:val="Standard"/>
        <w:spacing w:after="200" w:line="360" w:lineRule="auto"/>
        <w:jc w:val="both"/>
        <w:rPr>
          <w:rFonts w:ascii="Tahoma" w:hAnsi="Tahoma" w:cs="Tahoma"/>
          <w:bCs/>
          <w:kern w:val="0"/>
          <w:sz w:val="20"/>
          <w:szCs w:val="20"/>
        </w:rPr>
      </w:pPr>
    </w:p>
    <w:p w14:paraId="714C47CA" w14:textId="7BDBD84B" w:rsidR="002558B3" w:rsidRPr="00CC00D4" w:rsidRDefault="002558B3" w:rsidP="009E4A78">
      <w:pPr>
        <w:pStyle w:val="Titolo2"/>
      </w:pPr>
      <w:bookmarkStart w:id="139" w:name="__RefHeading__4430_1479815270"/>
      <w:bookmarkStart w:id="140" w:name="_Toc92386481"/>
      <w:bookmarkStart w:id="141" w:name="_Toc124266249"/>
      <w:r w:rsidRPr="00CC00D4">
        <w:t>3.13 Principio di cassa</w:t>
      </w:r>
      <w:bookmarkEnd w:id="139"/>
      <w:bookmarkEnd w:id="140"/>
      <w:bookmarkEnd w:id="141"/>
    </w:p>
    <w:p w14:paraId="166AF7C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pari di quanto avviene per il versamento della tassazione IRPEF, anche i contributi dovuti alla Gestione Separata seguono il cosiddetto “principio di cassa”, dal momento che sono dovuti entro il giorno 16 del mese successivo quello in cui sono corrisposte le somme.</w:t>
      </w:r>
    </w:p>
    <w:p w14:paraId="20B0A6F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Ricordiamo che per i lavoratori dipendenti, invece, la scadenza di pagamento dei contributi con F24 è fissata al giorno 16 del mese successivo quello di competenza, a prescindere dal momento di erogazione delle somme.</w:t>
      </w:r>
    </w:p>
    <w:p w14:paraId="340266D7"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5B300B6A" w14:textId="34FCAB04" w:rsidR="002558B3" w:rsidRPr="00CC00D4" w:rsidRDefault="002558B3" w:rsidP="009E4A78">
      <w:pPr>
        <w:pStyle w:val="Titolo2"/>
      </w:pPr>
      <w:bookmarkStart w:id="142" w:name="__RefHeading__4432_1479815270"/>
      <w:bookmarkStart w:id="143" w:name="_Toc92386482"/>
      <w:bookmarkStart w:id="144" w:name="_Toc124266250"/>
      <w:r w:rsidRPr="00CC00D4">
        <w:t>3.14 Compilazione F24</w:t>
      </w:r>
      <w:bookmarkEnd w:id="142"/>
      <w:bookmarkEnd w:id="143"/>
      <w:bookmarkEnd w:id="144"/>
    </w:p>
    <w:p w14:paraId="5D32BC0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Come chiarito dalla Circolare INPS sopra citata, il versamento dei contributi segue le stesse regole previste per i collaboratori coordinati e continuativi, pertanto, all’interno del modello F24 – sezione INPS, dovranno essere riportati:</w:t>
      </w:r>
    </w:p>
    <w:p w14:paraId="7E63F5D6" w14:textId="77777777" w:rsidR="002558B3" w:rsidRPr="00CC00D4" w:rsidRDefault="002558B3">
      <w:pPr>
        <w:pStyle w:val="Paragrafoelenco"/>
        <w:numPr>
          <w:ilvl w:val="0"/>
          <w:numId w:val="94"/>
        </w:numPr>
        <w:autoSpaceDN w:val="0"/>
        <w:ind w:left="709" w:hanging="357"/>
        <w:contextualSpacing/>
        <w:textAlignment w:val="baseline"/>
        <w:rPr>
          <w:rFonts w:cs="Tahoma"/>
          <w:szCs w:val="20"/>
        </w:rPr>
      </w:pPr>
      <w:r w:rsidRPr="00CC00D4">
        <w:rPr>
          <w:rFonts w:cs="Tahoma"/>
          <w:bCs/>
          <w:szCs w:val="20"/>
        </w:rPr>
        <w:t>“Codice sede” con le quattro cifre che identificano la sede territoriale INPS di riferimento del committente;</w:t>
      </w:r>
    </w:p>
    <w:p w14:paraId="5BDB13C4" w14:textId="77777777" w:rsidR="002558B3" w:rsidRPr="00CC00D4" w:rsidRDefault="002558B3">
      <w:pPr>
        <w:pStyle w:val="Paragrafoelenco"/>
        <w:numPr>
          <w:ilvl w:val="0"/>
          <w:numId w:val="94"/>
        </w:numPr>
        <w:autoSpaceDN w:val="0"/>
        <w:ind w:left="709" w:hanging="357"/>
        <w:contextualSpacing/>
        <w:textAlignment w:val="baseline"/>
        <w:rPr>
          <w:rFonts w:cs="Tahoma"/>
          <w:szCs w:val="20"/>
        </w:rPr>
      </w:pPr>
      <w:r w:rsidRPr="00CC00D4">
        <w:rPr>
          <w:rFonts w:cs="Tahoma"/>
          <w:bCs/>
          <w:szCs w:val="20"/>
        </w:rPr>
        <w:t>All’interno del campo “Causale contributo” il codice “C10” per coloro che sono già pensionati o iscritti ad altre forme di previdenza obbligatoria ovvero il codice “CXX” per gli iscritti in via esclusiva alla Gestione Separata;</w:t>
      </w:r>
    </w:p>
    <w:p w14:paraId="7E923E4F" w14:textId="77777777" w:rsidR="002558B3" w:rsidRPr="00CC00D4" w:rsidRDefault="002558B3">
      <w:pPr>
        <w:pStyle w:val="Paragrafoelenco"/>
        <w:numPr>
          <w:ilvl w:val="0"/>
          <w:numId w:val="94"/>
        </w:numPr>
        <w:autoSpaceDN w:val="0"/>
        <w:ind w:left="709" w:hanging="357"/>
        <w:contextualSpacing/>
        <w:textAlignment w:val="baseline"/>
        <w:rPr>
          <w:rFonts w:cs="Tahoma"/>
          <w:szCs w:val="20"/>
        </w:rPr>
      </w:pPr>
      <w:r w:rsidRPr="00CC00D4">
        <w:rPr>
          <w:rFonts w:cs="Tahoma"/>
          <w:bCs/>
          <w:szCs w:val="20"/>
        </w:rPr>
        <w:t>Nel campo “Matricola INPS / Codice INPS / Filiale azienda” le cinque cifre che compongono il cap del luogo in cui è collocata la sede del committente oltre ai dodici caratteri che formano il nome del Comune;</w:t>
      </w:r>
    </w:p>
    <w:p w14:paraId="4B6D636C" w14:textId="77777777" w:rsidR="002558B3" w:rsidRPr="00CC00D4" w:rsidRDefault="002558B3">
      <w:pPr>
        <w:pStyle w:val="Paragrafoelenco"/>
        <w:numPr>
          <w:ilvl w:val="0"/>
          <w:numId w:val="94"/>
        </w:numPr>
        <w:autoSpaceDN w:val="0"/>
        <w:ind w:left="709" w:hanging="357"/>
        <w:contextualSpacing/>
        <w:textAlignment w:val="baseline"/>
        <w:rPr>
          <w:rFonts w:cs="Tahoma"/>
          <w:szCs w:val="20"/>
        </w:rPr>
      </w:pPr>
      <w:r w:rsidRPr="00CC00D4">
        <w:rPr>
          <w:rFonts w:cs="Tahoma"/>
          <w:bCs/>
          <w:szCs w:val="20"/>
        </w:rPr>
        <w:t>Nel campo “Periodo di riferimento” all’interno della colonna “Da”, il mese e l’anno di erogazione del compenso nel formato MM / AAAA;</w:t>
      </w:r>
    </w:p>
    <w:p w14:paraId="3E8BF07D" w14:textId="77777777" w:rsidR="002558B3" w:rsidRPr="00CC00D4" w:rsidRDefault="002558B3">
      <w:pPr>
        <w:pStyle w:val="Paragrafoelenco"/>
        <w:numPr>
          <w:ilvl w:val="0"/>
          <w:numId w:val="94"/>
        </w:numPr>
        <w:autoSpaceDN w:val="0"/>
        <w:ind w:left="709"/>
        <w:textAlignment w:val="baseline"/>
        <w:rPr>
          <w:rFonts w:cs="Tahoma"/>
          <w:szCs w:val="20"/>
        </w:rPr>
      </w:pPr>
      <w:r w:rsidRPr="00CC00D4">
        <w:rPr>
          <w:rFonts w:cs="Tahoma"/>
          <w:bCs/>
          <w:szCs w:val="20"/>
        </w:rPr>
        <w:t>Campo “Importi a debito a versati” la somma dei contributi trattenuti al lavoratore e quelli dovuti dal committente.</w:t>
      </w:r>
    </w:p>
    <w:p w14:paraId="1995C57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lastRenderedPageBreak/>
        <w:t>Nessun dato dovrà essere inserito nel campo “Importi a credito versati”.</w:t>
      </w:r>
    </w:p>
    <w:p w14:paraId="21C59989"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349FE9CC" w14:textId="513BFDEA" w:rsidR="002558B3" w:rsidRPr="00CC00D4" w:rsidRDefault="002558B3" w:rsidP="009E4A78">
      <w:pPr>
        <w:pStyle w:val="Titolo2"/>
      </w:pPr>
      <w:bookmarkStart w:id="145" w:name="__RefHeading__4434_1479815270"/>
      <w:bookmarkStart w:id="146" w:name="_Toc92386483"/>
      <w:bookmarkStart w:id="147" w:name="_Toc124266251"/>
      <w:r w:rsidRPr="00CC00D4">
        <w:t>3.15 Denuncia UniEmens</w:t>
      </w:r>
      <w:bookmarkEnd w:id="145"/>
      <w:bookmarkEnd w:id="146"/>
      <w:bookmarkEnd w:id="147"/>
    </w:p>
    <w:p w14:paraId="75D9067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decorrere dal mese di gennaio 2005 (a norma dell’articolo 44 comma 9 Decreto legge 30 settembre 2003 numero 269 convertito con modificazioni in Legge 24 novembre 2003 numero 326) i committenti di collaborazioni coordinate e continuative, associazioni in partecipazione e, naturalmente, lavoro autonomo occasionale, sono tenuti a trasmettere in via telematica all’INPS (anche per il tramite di un intermediario abilitato) i “</w:t>
      </w:r>
      <w:r w:rsidRPr="00CC00D4">
        <w:rPr>
          <w:rFonts w:ascii="Tahoma" w:hAnsi="Tahoma" w:cs="Tahoma"/>
          <w:bCs/>
          <w:i/>
          <w:iCs/>
          <w:kern w:val="0"/>
          <w:sz w:val="20"/>
          <w:szCs w:val="20"/>
        </w:rPr>
        <w:t>dati retributivi e le informazioni necessarie per il calcolo dei contributi, per l’implementazione delle posizioni assicurative individuali e per l’erogazione delle prestazioni, entro l’ultimo giorno del mese successivo a quello di riferimento</w:t>
      </w:r>
      <w:r w:rsidRPr="00CC00D4">
        <w:rPr>
          <w:rFonts w:ascii="Tahoma" w:hAnsi="Tahoma" w:cs="Tahoma"/>
          <w:bCs/>
          <w:kern w:val="0"/>
          <w:sz w:val="20"/>
          <w:szCs w:val="20"/>
        </w:rPr>
        <w:t>”.</w:t>
      </w:r>
    </w:p>
    <w:p w14:paraId="21D99E0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Sotto questo aspetto il progetto UniEmens, introdotto a partire dalle denunce del mese di maggio 2009 (messaggio 25 maggio 2009 numero 11903), a regime dal 1° gennaio 2010, ha risposto all’obiettivo di unificare i flussi EMENS e DM10, in modo da:</w:t>
      </w:r>
    </w:p>
    <w:p w14:paraId="34915A20" w14:textId="77777777" w:rsidR="002558B3" w:rsidRPr="00CC00D4" w:rsidRDefault="002558B3">
      <w:pPr>
        <w:pStyle w:val="Paragrafoelenco"/>
        <w:numPr>
          <w:ilvl w:val="0"/>
          <w:numId w:val="97"/>
        </w:numPr>
        <w:autoSpaceDN w:val="0"/>
        <w:ind w:left="709" w:hanging="357"/>
        <w:contextualSpacing/>
        <w:textAlignment w:val="baseline"/>
        <w:rPr>
          <w:rFonts w:cs="Tahoma"/>
          <w:szCs w:val="20"/>
        </w:rPr>
      </w:pPr>
      <w:r w:rsidRPr="00CC00D4">
        <w:rPr>
          <w:rFonts w:cs="Tahoma"/>
          <w:bCs/>
          <w:szCs w:val="20"/>
        </w:rPr>
        <w:t>Ridurre le informazioni ed eliminare la duplicazione dei dati presenti nei due modelli in parola;</w:t>
      </w:r>
    </w:p>
    <w:p w14:paraId="473B4BB3" w14:textId="77777777" w:rsidR="002558B3" w:rsidRPr="00CC00D4" w:rsidRDefault="002558B3">
      <w:pPr>
        <w:pStyle w:val="Paragrafoelenco"/>
        <w:numPr>
          <w:ilvl w:val="0"/>
          <w:numId w:val="97"/>
        </w:numPr>
        <w:autoSpaceDN w:val="0"/>
        <w:ind w:left="709" w:hanging="357"/>
        <w:contextualSpacing/>
        <w:textAlignment w:val="baseline"/>
        <w:rPr>
          <w:rFonts w:cs="Tahoma"/>
          <w:szCs w:val="20"/>
        </w:rPr>
      </w:pPr>
      <w:r w:rsidRPr="00CC00D4">
        <w:rPr>
          <w:rFonts w:cs="Tahoma"/>
          <w:bCs/>
          <w:szCs w:val="20"/>
        </w:rPr>
        <w:t>Semplificare le informazioni e le procedure aziendali di trasmissione, gestione, elaborazione e controllo delle denunce;</w:t>
      </w:r>
    </w:p>
    <w:p w14:paraId="48D3F635" w14:textId="77777777" w:rsidR="002558B3" w:rsidRPr="00CC00D4" w:rsidRDefault="002558B3">
      <w:pPr>
        <w:pStyle w:val="Paragrafoelenco"/>
        <w:numPr>
          <w:ilvl w:val="0"/>
          <w:numId w:val="97"/>
        </w:numPr>
        <w:autoSpaceDN w:val="0"/>
        <w:ind w:left="709" w:hanging="357"/>
        <w:contextualSpacing/>
        <w:textAlignment w:val="baseline"/>
        <w:rPr>
          <w:rFonts w:cs="Tahoma"/>
          <w:szCs w:val="20"/>
        </w:rPr>
      </w:pPr>
      <w:r w:rsidRPr="00CC00D4">
        <w:rPr>
          <w:rFonts w:cs="Tahoma"/>
          <w:bCs/>
          <w:szCs w:val="20"/>
        </w:rPr>
        <w:t>Eliminare la necessità di verifiche di congruità tra i dati retributivi e contributivi attraverso il “Confronto Cumuli”;</w:t>
      </w:r>
    </w:p>
    <w:p w14:paraId="0699237A" w14:textId="77777777" w:rsidR="002558B3" w:rsidRPr="00CC00D4" w:rsidRDefault="002558B3">
      <w:pPr>
        <w:pStyle w:val="Paragrafoelenco"/>
        <w:numPr>
          <w:ilvl w:val="0"/>
          <w:numId w:val="97"/>
        </w:numPr>
        <w:autoSpaceDN w:val="0"/>
        <w:ind w:left="709"/>
        <w:textAlignment w:val="baseline"/>
        <w:rPr>
          <w:rFonts w:cs="Tahoma"/>
          <w:szCs w:val="20"/>
        </w:rPr>
      </w:pPr>
      <w:r w:rsidRPr="00CC00D4">
        <w:rPr>
          <w:rFonts w:cs="Tahoma"/>
          <w:bCs/>
          <w:szCs w:val="20"/>
        </w:rPr>
        <w:t>Aumentare le informazioni a disposizione dell’INPS.</w:t>
      </w:r>
    </w:p>
    <w:p w14:paraId="3BF2B91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particolare il modello EMENS consisteva in un flusso telematico tramite cui i sostituti d’imposta tenuti al rilascio delle Certificazioni Uniche (CU) trasmettevano agli enti previdenziali i dati retributivi riguardanti:</w:t>
      </w:r>
    </w:p>
    <w:p w14:paraId="69B382EA" w14:textId="77777777" w:rsidR="002558B3" w:rsidRPr="00CC00D4" w:rsidRDefault="002558B3">
      <w:pPr>
        <w:pStyle w:val="Paragrafoelenco"/>
        <w:numPr>
          <w:ilvl w:val="0"/>
          <w:numId w:val="98"/>
        </w:numPr>
        <w:autoSpaceDN w:val="0"/>
        <w:ind w:left="709" w:hanging="357"/>
        <w:contextualSpacing/>
        <w:textAlignment w:val="baseline"/>
        <w:rPr>
          <w:rFonts w:cs="Tahoma"/>
          <w:szCs w:val="20"/>
        </w:rPr>
      </w:pPr>
      <w:r w:rsidRPr="00CC00D4">
        <w:rPr>
          <w:rFonts w:cs="Tahoma"/>
          <w:bCs/>
          <w:szCs w:val="20"/>
        </w:rPr>
        <w:t>Calcolo dei contributi;</w:t>
      </w:r>
    </w:p>
    <w:p w14:paraId="26B249DD" w14:textId="77777777" w:rsidR="002558B3" w:rsidRPr="00CC00D4" w:rsidRDefault="002558B3">
      <w:pPr>
        <w:pStyle w:val="Paragrafoelenco"/>
        <w:numPr>
          <w:ilvl w:val="0"/>
          <w:numId w:val="98"/>
        </w:numPr>
        <w:autoSpaceDN w:val="0"/>
        <w:ind w:left="709" w:hanging="357"/>
        <w:contextualSpacing/>
        <w:textAlignment w:val="baseline"/>
        <w:rPr>
          <w:rFonts w:cs="Tahoma"/>
          <w:szCs w:val="20"/>
        </w:rPr>
      </w:pPr>
      <w:r w:rsidRPr="00CC00D4">
        <w:rPr>
          <w:rFonts w:cs="Tahoma"/>
          <w:bCs/>
          <w:szCs w:val="20"/>
        </w:rPr>
        <w:t>Implementazione delle posizioni assicurative individuali;</w:t>
      </w:r>
    </w:p>
    <w:p w14:paraId="20C86A9E" w14:textId="77777777" w:rsidR="002558B3" w:rsidRPr="00CC00D4" w:rsidRDefault="002558B3">
      <w:pPr>
        <w:pStyle w:val="Paragrafoelenco"/>
        <w:numPr>
          <w:ilvl w:val="0"/>
          <w:numId w:val="98"/>
        </w:numPr>
        <w:autoSpaceDN w:val="0"/>
        <w:ind w:left="709"/>
        <w:textAlignment w:val="baseline"/>
        <w:rPr>
          <w:rFonts w:cs="Tahoma"/>
          <w:szCs w:val="20"/>
        </w:rPr>
      </w:pPr>
      <w:r w:rsidRPr="00CC00D4">
        <w:rPr>
          <w:rFonts w:cs="Tahoma"/>
          <w:bCs/>
          <w:szCs w:val="20"/>
        </w:rPr>
        <w:t>Erogazione delle prestazioni.</w:t>
      </w:r>
    </w:p>
    <w:p w14:paraId="43AF063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contrario i modelli DM10/2 riportavano:</w:t>
      </w:r>
    </w:p>
    <w:p w14:paraId="2C8F4002" w14:textId="77777777" w:rsidR="002558B3" w:rsidRPr="00CC00D4" w:rsidRDefault="002558B3">
      <w:pPr>
        <w:pStyle w:val="Paragrafoelenco"/>
        <w:numPr>
          <w:ilvl w:val="0"/>
          <w:numId w:val="96"/>
        </w:numPr>
        <w:autoSpaceDN w:val="0"/>
        <w:ind w:left="709" w:hanging="357"/>
        <w:contextualSpacing/>
        <w:textAlignment w:val="baseline"/>
        <w:rPr>
          <w:rFonts w:cs="Tahoma"/>
          <w:szCs w:val="20"/>
        </w:rPr>
      </w:pPr>
      <w:r w:rsidRPr="00CC00D4">
        <w:rPr>
          <w:rFonts w:cs="Tahoma"/>
          <w:bCs/>
          <w:szCs w:val="20"/>
        </w:rPr>
        <w:t>Le retribuzioni ed i compensi corrisposti;</w:t>
      </w:r>
    </w:p>
    <w:p w14:paraId="0E974B25" w14:textId="77777777" w:rsidR="002558B3" w:rsidRPr="00CC00D4" w:rsidRDefault="002558B3">
      <w:pPr>
        <w:pStyle w:val="Paragrafoelenco"/>
        <w:numPr>
          <w:ilvl w:val="0"/>
          <w:numId w:val="96"/>
        </w:numPr>
        <w:autoSpaceDN w:val="0"/>
        <w:ind w:left="709" w:hanging="357"/>
        <w:contextualSpacing/>
        <w:textAlignment w:val="baseline"/>
        <w:rPr>
          <w:rFonts w:cs="Tahoma"/>
          <w:szCs w:val="20"/>
        </w:rPr>
      </w:pPr>
      <w:r w:rsidRPr="00CC00D4">
        <w:rPr>
          <w:rFonts w:cs="Tahoma"/>
          <w:bCs/>
          <w:szCs w:val="20"/>
        </w:rPr>
        <w:t>I contributi dovuti;</w:t>
      </w:r>
    </w:p>
    <w:p w14:paraId="5D2A89AE" w14:textId="77777777" w:rsidR="002558B3" w:rsidRPr="00CC00D4" w:rsidRDefault="002558B3">
      <w:pPr>
        <w:pStyle w:val="Paragrafoelenco"/>
        <w:numPr>
          <w:ilvl w:val="0"/>
          <w:numId w:val="96"/>
        </w:numPr>
        <w:autoSpaceDN w:val="0"/>
        <w:ind w:left="709"/>
        <w:textAlignment w:val="baseline"/>
        <w:rPr>
          <w:rFonts w:cs="Tahoma"/>
          <w:szCs w:val="20"/>
        </w:rPr>
      </w:pPr>
      <w:r w:rsidRPr="00CC00D4">
        <w:rPr>
          <w:rFonts w:cs="Tahoma"/>
          <w:bCs/>
          <w:szCs w:val="20"/>
        </w:rPr>
        <w:t>Il conguaglio delle prestazioni, delle agevolazioni e degli sgravi anticipati per conto dell’INPS.</w:t>
      </w:r>
    </w:p>
    <w:p w14:paraId="43F0BDB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differenza tra le voci di debito (contributi) e quelle a credito (sgravi ed importi anticipati per conto dell’INPS) generava un:</w:t>
      </w:r>
    </w:p>
    <w:p w14:paraId="05ABDA39" w14:textId="77777777" w:rsidR="002558B3" w:rsidRPr="00CC00D4" w:rsidRDefault="002558B3">
      <w:pPr>
        <w:pStyle w:val="Paragrafoelenco"/>
        <w:numPr>
          <w:ilvl w:val="0"/>
          <w:numId w:val="95"/>
        </w:numPr>
        <w:autoSpaceDN w:val="0"/>
        <w:ind w:left="709" w:hanging="357"/>
        <w:contextualSpacing/>
        <w:textAlignment w:val="baseline"/>
        <w:rPr>
          <w:rFonts w:cs="Tahoma"/>
          <w:szCs w:val="20"/>
        </w:rPr>
      </w:pPr>
      <w:r w:rsidRPr="00CC00D4">
        <w:rPr>
          <w:rFonts w:cs="Tahoma"/>
          <w:bCs/>
          <w:szCs w:val="20"/>
        </w:rPr>
        <w:lastRenderedPageBreak/>
        <w:t>Saldo “attivo”, con un debito per l’azienda nei confronti dell’Istituto;</w:t>
      </w:r>
    </w:p>
    <w:p w14:paraId="2CDF7907" w14:textId="77777777" w:rsidR="002558B3" w:rsidRPr="00CC00D4" w:rsidRDefault="002558B3">
      <w:pPr>
        <w:pStyle w:val="Paragrafoelenco"/>
        <w:numPr>
          <w:ilvl w:val="0"/>
          <w:numId w:val="95"/>
        </w:numPr>
        <w:autoSpaceDN w:val="0"/>
        <w:ind w:left="709"/>
        <w:textAlignment w:val="baseline"/>
        <w:rPr>
          <w:rFonts w:cs="Tahoma"/>
          <w:szCs w:val="20"/>
        </w:rPr>
      </w:pPr>
      <w:r w:rsidRPr="00CC00D4">
        <w:rPr>
          <w:rFonts w:cs="Tahoma"/>
          <w:bCs/>
          <w:szCs w:val="20"/>
        </w:rPr>
        <w:t>Salvo “passivo”, con un credito verso l’INPS.</w:t>
      </w:r>
    </w:p>
    <w:p w14:paraId="1432BD7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scadenza per l’invio della denuncia UniEmens è fissata nell’ultimo giorno del mese successivo quello di erogazione del compenso.</w:t>
      </w:r>
    </w:p>
    <w:p w14:paraId="799C23D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Un’eccezione riguarda le somme riconosciute entro il 12 gennaio ma relative all’anno precedente. Le stesse si considerano di competenza di quest’ultimo in virtù del “principio di cassa allargato”.</w:t>
      </w:r>
    </w:p>
    <w:p w14:paraId="76191C7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Ipotizziamo un’attività di lavoro autonomo occasionale svolta nel mese di dicembre 2021, con pagamento del compenso entro il 12 gennaio 2022. In tal caso le somme devono ritenersi di competenza dell’anno 2021 e riportate nel flusso UniEmens di dicembre, indicando come periodo di riferimento 01-12-2021 / 31-12-2021.</w:t>
      </w:r>
    </w:p>
    <w:p w14:paraId="3C6513C3" w14:textId="77777777" w:rsidR="002558B3" w:rsidRPr="00CC00D4" w:rsidRDefault="002558B3" w:rsidP="002558B3">
      <w:pPr>
        <w:pStyle w:val="Standard"/>
        <w:spacing w:after="200" w:line="360" w:lineRule="auto"/>
        <w:jc w:val="both"/>
        <w:rPr>
          <w:rFonts w:ascii="Tahoma" w:hAnsi="Tahoma" w:cs="Tahoma"/>
          <w:b/>
          <w:i/>
          <w:kern w:val="0"/>
          <w:sz w:val="20"/>
          <w:szCs w:val="20"/>
          <w:u w:val="single"/>
        </w:rPr>
      </w:pPr>
      <w:bookmarkStart w:id="148" w:name="_Toc92386484"/>
    </w:p>
    <w:p w14:paraId="0CB3EB4C" w14:textId="6ABD4732" w:rsidR="002558B3" w:rsidRPr="00CC00D4" w:rsidRDefault="002558B3" w:rsidP="009E4A78">
      <w:pPr>
        <w:pStyle w:val="Titolo2"/>
      </w:pPr>
      <w:bookmarkStart w:id="149" w:name="__RefHeading__4436_1479815270"/>
      <w:bookmarkStart w:id="150" w:name="_Toc124266252"/>
      <w:r w:rsidRPr="00CC00D4">
        <w:t>3.16 Compilazione denuncia UniEmens</w:t>
      </w:r>
      <w:bookmarkEnd w:id="148"/>
      <w:bookmarkEnd w:id="149"/>
      <w:bookmarkEnd w:id="150"/>
    </w:p>
    <w:p w14:paraId="6D5672B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Come anticipato, il flusso UniEmens (</w:t>
      </w:r>
      <w:hyperlink r:id="rId36" w:history="1">
        <w:r w:rsidRPr="00CC00D4">
          <w:rPr>
            <w:rStyle w:val="Collegamentoipertestuale"/>
            <w:rFonts w:ascii="Tahoma" w:hAnsi="Tahoma" w:cs="Tahoma"/>
            <w:bCs/>
            <w:kern w:val="0"/>
            <w:sz w:val="20"/>
            <w:szCs w:val="20"/>
          </w:rPr>
          <w:t>vedi Documento Tecnico Uniemens</w:t>
        </w:r>
      </w:hyperlink>
      <w:r w:rsidRPr="00CC00D4">
        <w:rPr>
          <w:rFonts w:ascii="Tahoma" w:hAnsi="Tahoma" w:cs="Tahoma"/>
          <w:bCs/>
          <w:kern w:val="0"/>
          <w:sz w:val="20"/>
          <w:szCs w:val="20"/>
        </w:rPr>
        <w:t>) fotografa i dati retributivi e contributivi specifici della prestazione di lavoro autonomo occasionale.</w:t>
      </w:r>
    </w:p>
    <w:p w14:paraId="287BA17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tal senso la denuncia dovrà contenere:</w:t>
      </w:r>
    </w:p>
    <w:p w14:paraId="29EEE525"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Codice Comune;</w:t>
      </w:r>
    </w:p>
    <w:p w14:paraId="4CD980C7"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Tipo di rapporto;</w:t>
      </w:r>
    </w:p>
    <w:p w14:paraId="4F2E1EF2"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Aliquota;</w:t>
      </w:r>
    </w:p>
    <w:p w14:paraId="3765FCC9"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Altra assicurazione;</w:t>
      </w:r>
    </w:p>
    <w:p w14:paraId="5E9F80D0"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Data di inizio e fine attività;</w:t>
      </w:r>
    </w:p>
    <w:p w14:paraId="281D8494"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Tipo agevolazione contributiva;</w:t>
      </w:r>
    </w:p>
    <w:p w14:paraId="0F73F384" w14:textId="77777777" w:rsidR="002558B3" w:rsidRPr="00CC00D4" w:rsidRDefault="002558B3">
      <w:pPr>
        <w:pStyle w:val="Paragrafoelenco"/>
        <w:numPr>
          <w:ilvl w:val="0"/>
          <w:numId w:val="100"/>
        </w:numPr>
        <w:autoSpaceDN w:val="0"/>
        <w:ind w:left="709" w:hanging="357"/>
        <w:contextualSpacing/>
        <w:textAlignment w:val="baseline"/>
        <w:rPr>
          <w:rFonts w:cs="Tahoma"/>
          <w:szCs w:val="20"/>
        </w:rPr>
      </w:pPr>
      <w:r w:rsidRPr="00CC00D4">
        <w:rPr>
          <w:rFonts w:cs="Tahoma"/>
          <w:bCs/>
          <w:szCs w:val="20"/>
        </w:rPr>
        <w:t>Codice calamità;</w:t>
      </w:r>
    </w:p>
    <w:p w14:paraId="6E51C8F2" w14:textId="77777777" w:rsidR="002558B3" w:rsidRPr="00CC00D4" w:rsidRDefault="002558B3">
      <w:pPr>
        <w:pStyle w:val="Paragrafoelenco"/>
        <w:numPr>
          <w:ilvl w:val="0"/>
          <w:numId w:val="100"/>
        </w:numPr>
        <w:autoSpaceDN w:val="0"/>
        <w:ind w:left="709"/>
        <w:textAlignment w:val="baseline"/>
        <w:rPr>
          <w:rFonts w:cs="Tahoma"/>
          <w:szCs w:val="20"/>
        </w:rPr>
      </w:pPr>
      <w:r w:rsidRPr="00CC00D4">
        <w:rPr>
          <w:rFonts w:cs="Tahoma"/>
          <w:bCs/>
          <w:szCs w:val="20"/>
        </w:rPr>
        <w:t>Codice certificazione.</w:t>
      </w:r>
    </w:p>
    <w:p w14:paraId="5296DC61"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009167CF" w14:textId="0B0CFE51" w:rsidR="002558B3" w:rsidRPr="00CC00D4" w:rsidRDefault="002558B3" w:rsidP="009E4A78">
      <w:pPr>
        <w:pStyle w:val="Titolo3"/>
      </w:pPr>
      <w:bookmarkStart w:id="151" w:name="__RefHeading__4438_1479815270"/>
      <w:bookmarkStart w:id="152" w:name="_Toc92386485"/>
      <w:bookmarkStart w:id="153" w:name="_Toc124266253"/>
      <w:r w:rsidRPr="00CC00D4">
        <w:t>3.16.1 Codice Comune</w:t>
      </w:r>
      <w:bookmarkEnd w:id="151"/>
      <w:bookmarkEnd w:id="152"/>
      <w:bookmarkEnd w:id="153"/>
    </w:p>
    <w:p w14:paraId="6548194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L’elemento </w:t>
      </w:r>
      <w:r w:rsidRPr="00CC00D4">
        <w:rPr>
          <w:rFonts w:ascii="Tahoma" w:hAnsi="Tahoma" w:cs="Tahoma"/>
          <w:bCs/>
          <w:i/>
          <w:iCs/>
          <w:kern w:val="0"/>
          <w:sz w:val="20"/>
          <w:szCs w:val="20"/>
        </w:rPr>
        <w:t>&lt;CodiceComune&gt;</w:t>
      </w:r>
      <w:r w:rsidRPr="00CC00D4">
        <w:rPr>
          <w:rFonts w:ascii="Tahoma" w:hAnsi="Tahoma" w:cs="Tahoma"/>
          <w:bCs/>
          <w:kern w:val="0"/>
          <w:sz w:val="20"/>
          <w:szCs w:val="20"/>
        </w:rPr>
        <w:t xml:space="preserve"> all’interno del flusso UniEmens identifica il Comune in cui il lavoratore autonomo svolge prevalentemente l’attività. Per coloro la cui prestazione coinvolge più comuni nell’ambito dello stesso mese, rileva ai fini della denuncia UniEmens l’ultimo luogo di lavoro.</w:t>
      </w:r>
    </w:p>
    <w:p w14:paraId="19FDE78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campo dev’essere valorizzato con il codice alfanumerico utilizzato ai fini fiscali per identificare il Comune. L’elenco completo è disponibile sul sito “</w:t>
      </w:r>
      <w:r w:rsidRPr="00CC00D4">
        <w:rPr>
          <w:rFonts w:ascii="Tahoma" w:hAnsi="Tahoma" w:cs="Tahoma"/>
          <w:bCs/>
          <w:i/>
          <w:iCs/>
          <w:kern w:val="0"/>
          <w:sz w:val="20"/>
          <w:szCs w:val="20"/>
        </w:rPr>
        <w:t>agenziaentrate.gov.it</w:t>
      </w:r>
      <w:r w:rsidRPr="00CC00D4">
        <w:rPr>
          <w:rFonts w:ascii="Tahoma" w:hAnsi="Tahoma" w:cs="Tahoma"/>
          <w:bCs/>
          <w:kern w:val="0"/>
          <w:sz w:val="20"/>
          <w:szCs w:val="20"/>
        </w:rPr>
        <w:t xml:space="preserve"> </w:t>
      </w:r>
      <w:r w:rsidRPr="00CC00D4">
        <w:rPr>
          <w:rFonts w:ascii="Tahoma" w:hAnsi="Tahoma" w:cs="Tahoma"/>
          <w:bCs/>
          <w:i/>
          <w:iCs/>
          <w:kern w:val="0"/>
          <w:sz w:val="20"/>
          <w:szCs w:val="20"/>
        </w:rPr>
        <w:t xml:space="preserve">– Servizi – Ricerca codici tributo – Tabelle Codici </w:t>
      </w:r>
      <w:r w:rsidRPr="00CC00D4">
        <w:rPr>
          <w:rFonts w:ascii="Tahoma" w:hAnsi="Tahoma" w:cs="Tahoma"/>
          <w:bCs/>
          <w:i/>
          <w:iCs/>
          <w:kern w:val="0"/>
          <w:sz w:val="20"/>
          <w:szCs w:val="20"/>
        </w:rPr>
        <w:lastRenderedPageBreak/>
        <w:t>– Tabella dei codici dei Comuni</w:t>
      </w:r>
      <w:r w:rsidRPr="00CC00D4">
        <w:rPr>
          <w:rFonts w:ascii="Tahoma" w:hAnsi="Tahoma" w:cs="Tahoma"/>
          <w:bCs/>
          <w:kern w:val="0"/>
          <w:sz w:val="20"/>
          <w:szCs w:val="20"/>
        </w:rPr>
        <w:t>”.</w:t>
      </w:r>
    </w:p>
    <w:p w14:paraId="3CA6D55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Fanno eccezione coloro che svolgono l’attività all’estero. In tal caso nel campo relativo al Comune dovranno essere riportati i codici dello stato interessato.</w:t>
      </w:r>
    </w:p>
    <w:p w14:paraId="67545601"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297462EB" w14:textId="13882133" w:rsidR="002558B3" w:rsidRPr="00CC00D4" w:rsidRDefault="002558B3" w:rsidP="009E4A78">
      <w:pPr>
        <w:pStyle w:val="Titolo3"/>
      </w:pPr>
      <w:bookmarkStart w:id="154" w:name="__RefHeading__4440_1479815270"/>
      <w:bookmarkStart w:id="155" w:name="_Toc92386486"/>
      <w:bookmarkStart w:id="156" w:name="_Toc124266254"/>
      <w:r w:rsidRPr="00CC00D4">
        <w:t>3.16.2 Tipo Rapporto</w:t>
      </w:r>
      <w:bookmarkEnd w:id="154"/>
      <w:bookmarkEnd w:id="155"/>
      <w:bookmarkEnd w:id="156"/>
    </w:p>
    <w:p w14:paraId="7103A33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Se il campo </w:t>
      </w:r>
      <w:r w:rsidRPr="00CC00D4">
        <w:rPr>
          <w:rFonts w:ascii="Tahoma" w:hAnsi="Tahoma" w:cs="Tahoma"/>
          <w:bCs/>
          <w:i/>
          <w:iCs/>
          <w:kern w:val="0"/>
          <w:sz w:val="20"/>
          <w:szCs w:val="20"/>
        </w:rPr>
        <w:t xml:space="preserve">&lt;CodiceComune&gt; </w:t>
      </w:r>
      <w:r w:rsidRPr="00CC00D4">
        <w:rPr>
          <w:rFonts w:ascii="Tahoma" w:hAnsi="Tahoma" w:cs="Tahoma"/>
          <w:bCs/>
          <w:kern w:val="0"/>
          <w:sz w:val="20"/>
          <w:szCs w:val="20"/>
        </w:rPr>
        <w:t xml:space="preserve">identifica il “dove” la prestazione è resa, la sezione </w:t>
      </w:r>
      <w:r w:rsidRPr="00CC00D4">
        <w:rPr>
          <w:rFonts w:ascii="Tahoma" w:hAnsi="Tahoma" w:cs="Tahoma"/>
          <w:bCs/>
          <w:i/>
          <w:iCs/>
          <w:kern w:val="0"/>
          <w:sz w:val="20"/>
          <w:szCs w:val="20"/>
        </w:rPr>
        <w:t xml:space="preserve">&lt;TipoRapporto&gt; </w:t>
      </w:r>
      <w:r w:rsidRPr="00CC00D4">
        <w:rPr>
          <w:rFonts w:ascii="Tahoma" w:hAnsi="Tahoma" w:cs="Tahoma"/>
          <w:bCs/>
          <w:kern w:val="0"/>
          <w:sz w:val="20"/>
          <w:szCs w:val="20"/>
        </w:rPr>
        <w:t>individua il “come”, nello specifico la tipologia di rapporto instaurato da cui discende l’obbligo di versare i contributi alla Gestione Separata.</w:t>
      </w:r>
    </w:p>
    <w:p w14:paraId="3398762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codice alfanumerico, composto da due elementi, che identifica il lavoro autonomo occasionale è lo “09”.</w:t>
      </w:r>
    </w:p>
    <w:p w14:paraId="7AF8960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titolo di esempio (ed al fine di evitare errori nella compilazione della denuncia) si citano gli altri codici disponibili:</w:t>
      </w:r>
    </w:p>
    <w:p w14:paraId="2DA11DD5"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01, Amministratore, sindaco, revisore di società, associazioni e altri enti con o senza personalità giuridica (soppresso dalle denunce di luglio 2009);</w:t>
      </w:r>
    </w:p>
    <w:p w14:paraId="19023558"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1A, Amministratore di società, associazione ed altri enti;</w:t>
      </w:r>
    </w:p>
    <w:p w14:paraId="04C536F5"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1E, Amministratore ed al tempo stesso rappresentante in carica (codice valido da luglio 2011);</w:t>
      </w:r>
    </w:p>
    <w:p w14:paraId="1CD9FB25"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1B, Sindaco di società, associazione ed altri enti;</w:t>
      </w:r>
    </w:p>
    <w:p w14:paraId="71847F5F"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1C Revisore di società, associazione ed altri enti;</w:t>
      </w:r>
    </w:p>
    <w:p w14:paraId="031763EA"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1D, Liquidatore di società;</w:t>
      </w:r>
    </w:p>
    <w:p w14:paraId="3360B9FC"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02, Collaboratore di giornali, riviste, enciclopedie e simili;</w:t>
      </w:r>
    </w:p>
    <w:p w14:paraId="20CBD84F"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03, Partecipante a collegi e commissioni;</w:t>
      </w:r>
    </w:p>
    <w:p w14:paraId="47361E6C"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04, Amministratore di enti locali;</w:t>
      </w:r>
    </w:p>
    <w:p w14:paraId="0239F945"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05, Dottorato di ricerca, assegno, borsa di studio;</w:t>
      </w:r>
    </w:p>
    <w:p w14:paraId="051C6BFD"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06, Co.co.co;</w:t>
      </w:r>
    </w:p>
    <w:p w14:paraId="2E678AED"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07, Venditore porta a porta;</w:t>
      </w:r>
    </w:p>
    <w:p w14:paraId="5549718A"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08, Collaborazioni occasionali (soppresso dal 1° luglio 2015 a norma dell’articolo 52 del Decreto legislativo 15 giugno 2015 numero 81)</w:t>
      </w:r>
    </w:p>
    <w:p w14:paraId="7D95A8B6"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09, rapporti di lavoro autonomo occasionali;</w:t>
      </w:r>
    </w:p>
    <w:p w14:paraId="71765416"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10, Collaborazioni coordinate e continuative dei titolari di pensione di vecchiaia o ultrasessantacinquenni;</w:t>
      </w:r>
    </w:p>
    <w:p w14:paraId="6384C780"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11, Collaborazioni coordinate e continuative nelle Pubbliche Amministrazioni;</w:t>
      </w:r>
    </w:p>
    <w:p w14:paraId="77E66EE9"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12, rapporti di collaborazione coordinata e continuativa prorogati;</w:t>
      </w:r>
    </w:p>
    <w:p w14:paraId="5E39D2AF"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13, Associati in partecipazione;</w:t>
      </w:r>
    </w:p>
    <w:p w14:paraId="6B546F18"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lastRenderedPageBreak/>
        <w:t>14, Medici in formazione specialistica;</w:t>
      </w:r>
    </w:p>
    <w:p w14:paraId="2136DEA9"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15, Volontari del Servizio civile;</w:t>
      </w:r>
    </w:p>
    <w:p w14:paraId="5108C572"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17, Consulente parlamentare;</w:t>
      </w:r>
    </w:p>
    <w:p w14:paraId="588B8E43"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18, Collaborazioni coordinate e continuative ai sensi del Decreto legislativo numero 81/2015;</w:t>
      </w:r>
    </w:p>
    <w:p w14:paraId="7CDD9719"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19, Amministratori locali iscritti in Gestione Separata come liberi professionisti;</w:t>
      </w:r>
    </w:p>
    <w:p w14:paraId="5BFA9676"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20, Collaboratori coordinati e continuativi per emergenza COVID-19;</w:t>
      </w:r>
    </w:p>
    <w:p w14:paraId="376B1ACA"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A1, rapporto generico ex denuncia annuale 2000-2001;</w:t>
      </w:r>
    </w:p>
    <w:p w14:paraId="22EF7CC5"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A2, rapporto generico ex denuncia annuale 2002-2004 esclusi gli associati in partecipazione per i quali va utilizzato il valore 13;</w:t>
      </w:r>
    </w:p>
    <w:p w14:paraId="58924CAF" w14:textId="77777777" w:rsidR="002558B3" w:rsidRPr="00CC00D4" w:rsidRDefault="002558B3">
      <w:pPr>
        <w:pStyle w:val="Paragrafoelenco"/>
        <w:numPr>
          <w:ilvl w:val="0"/>
          <w:numId w:val="102"/>
        </w:numPr>
        <w:autoSpaceDN w:val="0"/>
        <w:ind w:left="709" w:hanging="357"/>
        <w:contextualSpacing/>
        <w:textAlignment w:val="baseline"/>
        <w:rPr>
          <w:rFonts w:cs="Tahoma"/>
          <w:szCs w:val="20"/>
        </w:rPr>
      </w:pPr>
      <w:r w:rsidRPr="00CC00D4">
        <w:rPr>
          <w:rFonts w:cs="Tahoma"/>
          <w:bCs/>
          <w:szCs w:val="20"/>
        </w:rPr>
        <w:t>DS, rapporto generico ex distinta mensile 1996-1997;</w:t>
      </w:r>
    </w:p>
    <w:p w14:paraId="7F94BB79" w14:textId="77777777" w:rsidR="002558B3" w:rsidRPr="00CC00D4" w:rsidRDefault="002558B3">
      <w:pPr>
        <w:pStyle w:val="Paragrafoelenco"/>
        <w:numPr>
          <w:ilvl w:val="0"/>
          <w:numId w:val="102"/>
        </w:numPr>
        <w:autoSpaceDN w:val="0"/>
        <w:ind w:left="709"/>
        <w:textAlignment w:val="baseline"/>
        <w:rPr>
          <w:rFonts w:cs="Tahoma"/>
          <w:szCs w:val="20"/>
        </w:rPr>
      </w:pPr>
      <w:r w:rsidRPr="00CC00D4">
        <w:rPr>
          <w:rFonts w:cs="Tahoma"/>
          <w:bCs/>
          <w:szCs w:val="20"/>
        </w:rPr>
        <w:t>TR, rapporto generico ex denuncia trimestrale 1998-2000.</w:t>
      </w:r>
    </w:p>
    <w:p w14:paraId="07E9125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Il campo </w:t>
      </w:r>
      <w:r w:rsidRPr="00CC00D4">
        <w:rPr>
          <w:rFonts w:ascii="Tahoma" w:hAnsi="Tahoma" w:cs="Tahoma"/>
          <w:bCs/>
          <w:i/>
          <w:iCs/>
          <w:kern w:val="0"/>
          <w:sz w:val="20"/>
          <w:szCs w:val="20"/>
        </w:rPr>
        <w:t xml:space="preserve">&lt;TipoRapporto&gt; </w:t>
      </w:r>
      <w:r w:rsidRPr="00CC00D4">
        <w:rPr>
          <w:rFonts w:ascii="Tahoma" w:hAnsi="Tahoma" w:cs="Tahoma"/>
          <w:bCs/>
          <w:kern w:val="0"/>
          <w:sz w:val="20"/>
          <w:szCs w:val="20"/>
        </w:rPr>
        <w:t>dovrà altresì riportare l’ammontare dei compensi riconosciuti nel mese di competenza della denuncia UniEmens cosiddetto “imponibile contributivo”, su cui sono state applicate le aliquote percentuali.</w:t>
      </w:r>
    </w:p>
    <w:p w14:paraId="13722193"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1C7EC930" w14:textId="5552BD50" w:rsidR="002558B3" w:rsidRPr="00CC00D4" w:rsidRDefault="002558B3" w:rsidP="009E4A78">
      <w:pPr>
        <w:pStyle w:val="Titolo3"/>
      </w:pPr>
      <w:bookmarkStart w:id="157" w:name="__RefHeading__4442_1479815270"/>
      <w:bookmarkStart w:id="158" w:name="_Toc92386487"/>
      <w:bookmarkStart w:id="159" w:name="_Toc124266255"/>
      <w:r w:rsidRPr="00CC00D4">
        <w:t>3.16.3 Aliquote contributive</w:t>
      </w:r>
      <w:bookmarkEnd w:id="157"/>
      <w:bookmarkEnd w:id="158"/>
      <w:bookmarkEnd w:id="159"/>
    </w:p>
    <w:p w14:paraId="46F9068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La percentuale (24% o 33,72%) calcolata sull’imponibile contributivo indicato in </w:t>
      </w:r>
      <w:r w:rsidRPr="00CC00D4">
        <w:rPr>
          <w:rFonts w:ascii="Tahoma" w:hAnsi="Tahoma" w:cs="Tahoma"/>
          <w:bCs/>
          <w:i/>
          <w:iCs/>
          <w:kern w:val="0"/>
          <w:sz w:val="20"/>
          <w:szCs w:val="20"/>
        </w:rPr>
        <w:t>&lt;TipoRapporto&gt;</w:t>
      </w:r>
      <w:r w:rsidRPr="00CC00D4">
        <w:rPr>
          <w:rFonts w:ascii="Tahoma" w:hAnsi="Tahoma" w:cs="Tahoma"/>
          <w:bCs/>
          <w:kern w:val="0"/>
          <w:sz w:val="20"/>
          <w:szCs w:val="20"/>
        </w:rPr>
        <w:t xml:space="preserve"> sarà riportata nel campo </w:t>
      </w:r>
      <w:r w:rsidRPr="00CC00D4">
        <w:rPr>
          <w:rFonts w:ascii="Tahoma" w:hAnsi="Tahoma" w:cs="Tahoma"/>
          <w:bCs/>
          <w:i/>
          <w:iCs/>
          <w:kern w:val="0"/>
          <w:sz w:val="20"/>
          <w:szCs w:val="20"/>
        </w:rPr>
        <w:t>&lt;Aliquota&gt;</w:t>
      </w:r>
      <w:r w:rsidRPr="00CC00D4">
        <w:rPr>
          <w:rFonts w:ascii="Tahoma" w:hAnsi="Tahoma" w:cs="Tahoma"/>
          <w:bCs/>
          <w:kern w:val="0"/>
          <w:sz w:val="20"/>
          <w:szCs w:val="20"/>
        </w:rPr>
        <w:t xml:space="preserve"> ed espressa in centesimi:</w:t>
      </w:r>
    </w:p>
    <w:p w14:paraId="5A7C9647" w14:textId="77777777" w:rsidR="002558B3" w:rsidRPr="00CC00D4" w:rsidRDefault="002558B3">
      <w:pPr>
        <w:pStyle w:val="Paragrafoelenco"/>
        <w:numPr>
          <w:ilvl w:val="0"/>
          <w:numId w:val="101"/>
        </w:numPr>
        <w:autoSpaceDN w:val="0"/>
        <w:ind w:left="709" w:hanging="357"/>
        <w:contextualSpacing/>
        <w:textAlignment w:val="baseline"/>
        <w:rPr>
          <w:rFonts w:cs="Tahoma"/>
          <w:szCs w:val="20"/>
        </w:rPr>
      </w:pPr>
      <w:r w:rsidRPr="00CC00D4">
        <w:rPr>
          <w:rFonts w:cs="Tahoma"/>
          <w:bCs/>
          <w:szCs w:val="20"/>
        </w:rPr>
        <w:t>“</w:t>
      </w:r>
      <w:r w:rsidRPr="00CC00D4">
        <w:rPr>
          <w:rFonts w:cs="Tahoma"/>
          <w:bCs/>
          <w:i/>
          <w:iCs/>
          <w:szCs w:val="20"/>
        </w:rPr>
        <w:t>2400</w:t>
      </w:r>
      <w:r w:rsidRPr="00CC00D4">
        <w:rPr>
          <w:rFonts w:cs="Tahoma"/>
          <w:bCs/>
          <w:szCs w:val="20"/>
        </w:rPr>
        <w:t>” in corrispondenza dell’aliquota ridotta al 24% per i soggetti già pensionati o iscritti ad altre forme di previdenza obbligatoria;</w:t>
      </w:r>
    </w:p>
    <w:p w14:paraId="789DF9D5" w14:textId="77777777" w:rsidR="002558B3" w:rsidRPr="00CC00D4" w:rsidRDefault="002558B3">
      <w:pPr>
        <w:pStyle w:val="Paragrafoelenco"/>
        <w:numPr>
          <w:ilvl w:val="0"/>
          <w:numId w:val="101"/>
        </w:numPr>
        <w:autoSpaceDN w:val="0"/>
        <w:ind w:left="709"/>
        <w:textAlignment w:val="baseline"/>
        <w:rPr>
          <w:rFonts w:cs="Tahoma"/>
          <w:szCs w:val="20"/>
        </w:rPr>
      </w:pPr>
      <w:r w:rsidRPr="00CC00D4">
        <w:rPr>
          <w:rFonts w:cs="Tahoma"/>
          <w:bCs/>
          <w:szCs w:val="20"/>
        </w:rPr>
        <w:t>“</w:t>
      </w:r>
      <w:r w:rsidRPr="00CC00D4">
        <w:rPr>
          <w:rFonts w:cs="Tahoma"/>
          <w:bCs/>
          <w:i/>
          <w:iCs/>
          <w:szCs w:val="20"/>
        </w:rPr>
        <w:t>3372</w:t>
      </w:r>
      <w:r w:rsidRPr="00CC00D4">
        <w:rPr>
          <w:rFonts w:cs="Tahoma"/>
          <w:bCs/>
          <w:szCs w:val="20"/>
        </w:rPr>
        <w:t>” per gli iscritti in via esclusiva alla Gestione Separata con aliquota complessiva al 33,72%.</w:t>
      </w:r>
    </w:p>
    <w:p w14:paraId="5F864AA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Limitatamente ai soggetti con contribuzione ridotta, è previsto l’obbligo di trasmettere all’INPS il dato relativo all’altra copertura assicurativa cui l’interessato è iscritto, tale da giustificare l’applicazione del 24%.</w:t>
      </w:r>
    </w:p>
    <w:p w14:paraId="3DE9CBD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Il campo </w:t>
      </w:r>
      <w:r w:rsidRPr="00CC00D4">
        <w:rPr>
          <w:rFonts w:ascii="Tahoma" w:hAnsi="Tahoma" w:cs="Tahoma"/>
          <w:bCs/>
          <w:i/>
          <w:iCs/>
          <w:kern w:val="0"/>
          <w:sz w:val="20"/>
          <w:szCs w:val="20"/>
        </w:rPr>
        <w:t xml:space="preserve">&lt;AltraAss&gt; </w:t>
      </w:r>
      <w:r w:rsidRPr="00CC00D4">
        <w:rPr>
          <w:rFonts w:ascii="Tahoma" w:hAnsi="Tahoma" w:cs="Tahoma"/>
          <w:bCs/>
          <w:kern w:val="0"/>
          <w:sz w:val="20"/>
          <w:szCs w:val="20"/>
        </w:rPr>
        <w:t>dovrà pertanto essere popolato con il codice:</w:t>
      </w:r>
    </w:p>
    <w:p w14:paraId="4D3DF0A4"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001, per i soggetti pensionati di tutti gli enti pensionistici obbligatori;</w:t>
      </w:r>
    </w:p>
    <w:p w14:paraId="5C458EE1"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002, per i titolari di pensione diretta;</w:t>
      </w:r>
    </w:p>
    <w:p w14:paraId="73873CA1"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101, per i lavoratori iscritti al Fondo pensione lavoratori dipendenti (FPLD);</w:t>
      </w:r>
    </w:p>
    <w:p w14:paraId="262DE619"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102, per la Gestione Artigiani;</w:t>
      </w:r>
    </w:p>
    <w:p w14:paraId="49E11F6E"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103, per la Gestione Commercianti;</w:t>
      </w:r>
    </w:p>
    <w:p w14:paraId="5C7F8A56"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104 per Coltivatori diretti, Coloni e Mezzadri;</w:t>
      </w:r>
    </w:p>
    <w:p w14:paraId="23EAFB1B"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105 versamenti volontari;</w:t>
      </w:r>
    </w:p>
    <w:p w14:paraId="08B009F0"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lastRenderedPageBreak/>
        <w:t>106 versamenti figurativi;</w:t>
      </w:r>
    </w:p>
    <w:p w14:paraId="6479E878"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107 Fondi speciali;</w:t>
      </w:r>
    </w:p>
    <w:p w14:paraId="33D82AD9"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201 dipendenti di enti locali e dipendenti delle Amministrazioni dello Stato;</w:t>
      </w:r>
    </w:p>
    <w:p w14:paraId="06F085DA"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301 Dottori commercialisti;</w:t>
      </w:r>
    </w:p>
    <w:p w14:paraId="544BA674"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302 Ragionieri;</w:t>
      </w:r>
    </w:p>
    <w:p w14:paraId="753D9B0F"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303 Ingegneri e Architetti;</w:t>
      </w:r>
    </w:p>
    <w:p w14:paraId="5772965E"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304 Geometri;</w:t>
      </w:r>
    </w:p>
    <w:p w14:paraId="61FF812B"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305 Avvocati;</w:t>
      </w:r>
    </w:p>
    <w:p w14:paraId="220B337A"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306 Consulenti del lavoro;</w:t>
      </w:r>
    </w:p>
    <w:p w14:paraId="22C29588"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307 Notai;</w:t>
      </w:r>
    </w:p>
    <w:p w14:paraId="1DEF3D74"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308 Medici;</w:t>
      </w:r>
    </w:p>
    <w:p w14:paraId="7E1543B5"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309 Farmacisti;</w:t>
      </w:r>
    </w:p>
    <w:p w14:paraId="10D37C48"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310 Veterinari;</w:t>
      </w:r>
    </w:p>
    <w:p w14:paraId="1C537DA5"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311 Chimici;</w:t>
      </w:r>
    </w:p>
    <w:p w14:paraId="4A07F237"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312 Agronomi;</w:t>
      </w:r>
    </w:p>
    <w:p w14:paraId="2DE40891"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313 Geologi;</w:t>
      </w:r>
    </w:p>
    <w:p w14:paraId="20295B53"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314 Attuari;</w:t>
      </w:r>
    </w:p>
    <w:p w14:paraId="6DA13EEA"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315 Infermieri professionali, Assistenti sanitari, Vigilatrici d’infanzia;</w:t>
      </w:r>
    </w:p>
    <w:p w14:paraId="5DF786F3"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316 Psicologi;</w:t>
      </w:r>
    </w:p>
    <w:p w14:paraId="7C010080"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317 Biologi;</w:t>
      </w:r>
    </w:p>
    <w:p w14:paraId="4D7D21BD"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318 Periti Industriali;</w:t>
      </w:r>
    </w:p>
    <w:p w14:paraId="54843796"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319 Agrotecnici, Periti Agrari;</w:t>
      </w:r>
    </w:p>
    <w:p w14:paraId="6F554CDB"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320 Giornalisti;</w:t>
      </w:r>
    </w:p>
    <w:p w14:paraId="367265D2"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321 Spedizionieri (sino al 31 dicembre 1997);</w:t>
      </w:r>
    </w:p>
    <w:p w14:paraId="5DB8F14B"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401 Dirigenti d’Azienda;</w:t>
      </w:r>
    </w:p>
    <w:p w14:paraId="1B0DB971" w14:textId="77777777" w:rsidR="002558B3" w:rsidRPr="00CC00D4" w:rsidRDefault="002558B3">
      <w:pPr>
        <w:pStyle w:val="Paragrafoelenco"/>
        <w:numPr>
          <w:ilvl w:val="0"/>
          <w:numId w:val="103"/>
        </w:numPr>
        <w:autoSpaceDN w:val="0"/>
        <w:ind w:left="709" w:hanging="357"/>
        <w:contextualSpacing/>
        <w:textAlignment w:val="baseline"/>
        <w:rPr>
          <w:rFonts w:cs="Tahoma"/>
          <w:szCs w:val="20"/>
        </w:rPr>
      </w:pPr>
      <w:r w:rsidRPr="00CC00D4">
        <w:rPr>
          <w:rFonts w:cs="Tahoma"/>
          <w:bCs/>
          <w:szCs w:val="20"/>
        </w:rPr>
        <w:t>501 Lavoratori dello spettacolo;</w:t>
      </w:r>
    </w:p>
    <w:p w14:paraId="7DA2BB5F" w14:textId="26618854" w:rsidR="009C11E3" w:rsidRPr="00CC00D4" w:rsidRDefault="002558B3" w:rsidP="00A46027">
      <w:pPr>
        <w:pStyle w:val="Paragrafoelenco"/>
        <w:numPr>
          <w:ilvl w:val="0"/>
          <w:numId w:val="103"/>
        </w:numPr>
        <w:autoSpaceDN w:val="0"/>
        <w:ind w:left="709"/>
        <w:textAlignment w:val="baseline"/>
        <w:rPr>
          <w:rFonts w:cs="Tahoma"/>
          <w:szCs w:val="20"/>
        </w:rPr>
      </w:pPr>
      <w:r w:rsidRPr="00CC00D4">
        <w:rPr>
          <w:rFonts w:cs="Tahoma"/>
          <w:bCs/>
          <w:szCs w:val="20"/>
        </w:rPr>
        <w:t>601 Lavoratori Poste Italiane S.p.a.</w:t>
      </w:r>
      <w:bookmarkStart w:id="160" w:name="__RefHeading__4444_1479815270"/>
      <w:bookmarkStart w:id="161" w:name="_Toc92386488"/>
    </w:p>
    <w:p w14:paraId="0A357D38" w14:textId="77777777" w:rsidR="00634069" w:rsidRPr="00CC00D4" w:rsidRDefault="00634069" w:rsidP="009E4A78">
      <w:pPr>
        <w:pStyle w:val="Titolo3"/>
        <w:rPr>
          <w:b w:val="0"/>
        </w:rPr>
      </w:pPr>
    </w:p>
    <w:p w14:paraId="447C82FD" w14:textId="47B51D65" w:rsidR="002558B3" w:rsidRPr="00CC00D4" w:rsidRDefault="002558B3" w:rsidP="009E4A78">
      <w:pPr>
        <w:pStyle w:val="Titolo3"/>
        <w:rPr>
          <w:b w:val="0"/>
        </w:rPr>
      </w:pPr>
      <w:bookmarkStart w:id="162" w:name="_Toc124266256"/>
      <w:r w:rsidRPr="00CC00D4">
        <w:t>3.16.4 Data inizio e fine attività</w:t>
      </w:r>
      <w:bookmarkEnd w:id="160"/>
      <w:bookmarkEnd w:id="161"/>
      <w:bookmarkEnd w:id="162"/>
    </w:p>
    <w:p w14:paraId="77B9E9F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date relative al periodo cui si riferisce il compenso oggetto della denuncia UniEmens dovranno essere indicate con:</w:t>
      </w:r>
    </w:p>
    <w:p w14:paraId="3251A291" w14:textId="77777777" w:rsidR="002558B3" w:rsidRPr="00CC00D4" w:rsidRDefault="002558B3">
      <w:pPr>
        <w:pStyle w:val="Paragrafoelenco"/>
        <w:numPr>
          <w:ilvl w:val="0"/>
          <w:numId w:val="104"/>
        </w:numPr>
        <w:autoSpaceDN w:val="0"/>
        <w:ind w:left="709" w:hanging="357"/>
        <w:contextualSpacing/>
        <w:textAlignment w:val="baseline"/>
        <w:rPr>
          <w:rFonts w:cs="Tahoma"/>
          <w:szCs w:val="20"/>
        </w:rPr>
      </w:pPr>
      <w:r w:rsidRPr="00CC00D4">
        <w:rPr>
          <w:rFonts w:cs="Tahoma"/>
          <w:bCs/>
          <w:i/>
          <w:iCs/>
          <w:szCs w:val="20"/>
        </w:rPr>
        <w:t xml:space="preserve">&lt;Dal&gt; </w:t>
      </w:r>
      <w:r w:rsidRPr="00CC00D4">
        <w:rPr>
          <w:rFonts w:cs="Tahoma"/>
          <w:bCs/>
          <w:szCs w:val="20"/>
        </w:rPr>
        <w:t>nel formato AAAA-MM-GG per la data di inizio attività;</w:t>
      </w:r>
    </w:p>
    <w:p w14:paraId="00D655A5" w14:textId="77777777" w:rsidR="002558B3" w:rsidRPr="00CC00D4" w:rsidRDefault="002558B3">
      <w:pPr>
        <w:pStyle w:val="Paragrafoelenco"/>
        <w:numPr>
          <w:ilvl w:val="0"/>
          <w:numId w:val="104"/>
        </w:numPr>
        <w:autoSpaceDN w:val="0"/>
        <w:ind w:left="709"/>
        <w:textAlignment w:val="baseline"/>
        <w:rPr>
          <w:rFonts w:cs="Tahoma"/>
          <w:szCs w:val="20"/>
        </w:rPr>
      </w:pPr>
      <w:r w:rsidRPr="00CC00D4">
        <w:rPr>
          <w:rFonts w:cs="Tahoma"/>
          <w:bCs/>
          <w:i/>
          <w:iCs/>
          <w:szCs w:val="20"/>
        </w:rPr>
        <w:t xml:space="preserve">&lt;Al&gt; </w:t>
      </w:r>
      <w:r w:rsidRPr="00CC00D4">
        <w:rPr>
          <w:rFonts w:cs="Tahoma"/>
          <w:bCs/>
          <w:szCs w:val="20"/>
        </w:rPr>
        <w:t>(formato AAAA-MM-GG) con lo scopo di indicare la data di fine attività.</w:t>
      </w:r>
    </w:p>
    <w:p w14:paraId="52F372D1" w14:textId="6B8B7EA1" w:rsidR="002558B3" w:rsidRPr="00CC00D4" w:rsidRDefault="002558B3" w:rsidP="009E4A78">
      <w:pPr>
        <w:pStyle w:val="Titolo3"/>
      </w:pPr>
      <w:bookmarkStart w:id="163" w:name="_Toc92386489"/>
      <w:bookmarkStart w:id="164" w:name="__RefHeading__4446_1479815270"/>
      <w:bookmarkStart w:id="165" w:name="_Toc124266257"/>
      <w:r w:rsidRPr="00CC00D4">
        <w:lastRenderedPageBreak/>
        <w:t>3.16.5 Calamità</w:t>
      </w:r>
      <w:bookmarkEnd w:id="163"/>
      <w:bookmarkEnd w:id="164"/>
      <w:bookmarkEnd w:id="165"/>
    </w:p>
    <w:p w14:paraId="60888C5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All’interno dell’elemento </w:t>
      </w:r>
      <w:r w:rsidRPr="00CC00D4">
        <w:rPr>
          <w:rFonts w:ascii="Tahoma" w:hAnsi="Tahoma" w:cs="Tahoma"/>
          <w:bCs/>
          <w:i/>
          <w:iCs/>
          <w:kern w:val="0"/>
          <w:sz w:val="20"/>
          <w:szCs w:val="20"/>
        </w:rPr>
        <w:t xml:space="preserve">&lt;CodCalamita&gt; </w:t>
      </w:r>
      <w:r w:rsidRPr="00CC00D4">
        <w:rPr>
          <w:rFonts w:ascii="Tahoma" w:hAnsi="Tahoma" w:cs="Tahoma"/>
          <w:bCs/>
          <w:kern w:val="0"/>
          <w:sz w:val="20"/>
          <w:szCs w:val="20"/>
        </w:rPr>
        <w:t>possono essere inseriti i seguenti valori:</w:t>
      </w:r>
    </w:p>
    <w:p w14:paraId="717C222B" w14:textId="77777777" w:rsidR="002558B3" w:rsidRPr="00CC00D4" w:rsidRDefault="002558B3">
      <w:pPr>
        <w:pStyle w:val="Paragrafoelenco"/>
        <w:numPr>
          <w:ilvl w:val="0"/>
          <w:numId w:val="105"/>
        </w:numPr>
        <w:autoSpaceDN w:val="0"/>
        <w:ind w:left="709" w:hanging="357"/>
        <w:contextualSpacing/>
        <w:textAlignment w:val="baseline"/>
        <w:rPr>
          <w:rFonts w:cs="Tahoma"/>
          <w:szCs w:val="20"/>
        </w:rPr>
      </w:pPr>
      <w:r w:rsidRPr="00CC00D4">
        <w:rPr>
          <w:rFonts w:cs="Tahoma"/>
          <w:bCs/>
          <w:szCs w:val="20"/>
        </w:rPr>
        <w:t>01, 04, 05, 06, 07, 08, 09, 10, 11, 12, 13, 14, 15, 16, 17, 18, 23 relativi alla sospensione dei contributi per calamità naturali (alluvioni, terremoti, dissesti idrogeologici), emergenze umanitarie;</w:t>
      </w:r>
    </w:p>
    <w:p w14:paraId="4237B98B" w14:textId="77777777" w:rsidR="002558B3" w:rsidRPr="00CC00D4" w:rsidRDefault="002558B3">
      <w:pPr>
        <w:pStyle w:val="Paragrafoelenco"/>
        <w:numPr>
          <w:ilvl w:val="0"/>
          <w:numId w:val="105"/>
        </w:numPr>
        <w:autoSpaceDN w:val="0"/>
        <w:ind w:left="709" w:hanging="357"/>
        <w:contextualSpacing/>
        <w:textAlignment w:val="baseline"/>
        <w:rPr>
          <w:rFonts w:cs="Tahoma"/>
          <w:szCs w:val="20"/>
        </w:rPr>
      </w:pPr>
      <w:r w:rsidRPr="00CC00D4">
        <w:rPr>
          <w:rFonts w:cs="Tahoma"/>
          <w:bCs/>
          <w:szCs w:val="20"/>
        </w:rPr>
        <w:t>24, 25, 26, 27, 28, 29, 30, 31, 32, 33, 34, 35, 36 riguardanti le sospensioni dal versamento dei contributi decise a seguito dell’emergenza epidemiologica COVID-19;</w:t>
      </w:r>
    </w:p>
    <w:p w14:paraId="6ED5CEF4" w14:textId="77777777" w:rsidR="002558B3" w:rsidRPr="00CC00D4" w:rsidRDefault="002558B3">
      <w:pPr>
        <w:pStyle w:val="Paragrafoelenco"/>
        <w:numPr>
          <w:ilvl w:val="0"/>
          <w:numId w:val="105"/>
        </w:numPr>
        <w:autoSpaceDN w:val="0"/>
        <w:ind w:left="709"/>
        <w:textAlignment w:val="baseline"/>
        <w:rPr>
          <w:rFonts w:cs="Tahoma"/>
          <w:szCs w:val="20"/>
        </w:rPr>
      </w:pPr>
      <w:r w:rsidRPr="00CC00D4">
        <w:rPr>
          <w:rFonts w:cs="Tahoma"/>
          <w:bCs/>
          <w:szCs w:val="20"/>
        </w:rPr>
        <w:t>S1, per la sospensione dal versamento dei contributi a seguito di malattia o infortunio grave (ai sensi dell’articolo 14, comma 3, Legge 22 maggio 2017 numero 81).</w:t>
      </w:r>
    </w:p>
    <w:p w14:paraId="1B714F18"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64F40749" w14:textId="5077E00D" w:rsidR="002558B3" w:rsidRPr="00CC00D4" w:rsidRDefault="002558B3" w:rsidP="009E4A78">
      <w:pPr>
        <w:pStyle w:val="Titolo3"/>
        <w:rPr>
          <w:b w:val="0"/>
        </w:rPr>
      </w:pPr>
      <w:bookmarkStart w:id="166" w:name="__RefHeading__4448_1479815270"/>
      <w:bookmarkStart w:id="167" w:name="_Toc92386490"/>
      <w:bookmarkStart w:id="168" w:name="_Toc124266258"/>
      <w:r w:rsidRPr="00CC00D4">
        <w:t>3.16.6 Certificazione del contratto</w:t>
      </w:r>
      <w:bookmarkEnd w:id="166"/>
      <w:bookmarkEnd w:id="167"/>
      <w:bookmarkEnd w:id="168"/>
    </w:p>
    <w:p w14:paraId="00C864D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A fronte della certificazione del contratto, il campo </w:t>
      </w:r>
      <w:r w:rsidRPr="00CC00D4">
        <w:rPr>
          <w:rFonts w:ascii="Tahoma" w:hAnsi="Tahoma" w:cs="Tahoma"/>
          <w:bCs/>
          <w:i/>
          <w:iCs/>
          <w:kern w:val="0"/>
          <w:sz w:val="20"/>
          <w:szCs w:val="20"/>
        </w:rPr>
        <w:t xml:space="preserve">&lt;CodCertificazione&gt; </w:t>
      </w:r>
      <w:r w:rsidRPr="00CC00D4">
        <w:rPr>
          <w:rFonts w:ascii="Tahoma" w:hAnsi="Tahoma" w:cs="Tahoma"/>
          <w:bCs/>
          <w:kern w:val="0"/>
          <w:sz w:val="20"/>
          <w:szCs w:val="20"/>
        </w:rPr>
        <w:t>dovrà essere animato con i seguenti codici:</w:t>
      </w:r>
    </w:p>
    <w:p w14:paraId="22D28153" w14:textId="77777777" w:rsidR="002558B3" w:rsidRPr="00CC00D4" w:rsidRDefault="002558B3">
      <w:pPr>
        <w:pStyle w:val="Paragrafoelenco"/>
        <w:numPr>
          <w:ilvl w:val="0"/>
          <w:numId w:val="106"/>
        </w:numPr>
        <w:autoSpaceDN w:val="0"/>
        <w:ind w:left="709" w:hanging="357"/>
        <w:contextualSpacing/>
        <w:textAlignment w:val="baseline"/>
        <w:rPr>
          <w:rFonts w:cs="Tahoma"/>
          <w:szCs w:val="20"/>
        </w:rPr>
      </w:pPr>
      <w:r w:rsidRPr="00CC00D4">
        <w:rPr>
          <w:rFonts w:cs="Tahoma"/>
          <w:bCs/>
          <w:szCs w:val="20"/>
        </w:rPr>
        <w:t>001 se l’ente interessato dalla certificazione è l’Ispettorato territoriale del lavoro;</w:t>
      </w:r>
    </w:p>
    <w:p w14:paraId="00B81D7B" w14:textId="77777777" w:rsidR="002558B3" w:rsidRPr="00CC00D4" w:rsidRDefault="002558B3">
      <w:pPr>
        <w:pStyle w:val="Paragrafoelenco"/>
        <w:numPr>
          <w:ilvl w:val="0"/>
          <w:numId w:val="106"/>
        </w:numPr>
        <w:autoSpaceDN w:val="0"/>
        <w:ind w:left="709" w:hanging="357"/>
        <w:contextualSpacing/>
        <w:textAlignment w:val="baseline"/>
        <w:rPr>
          <w:rFonts w:cs="Tahoma"/>
          <w:szCs w:val="20"/>
        </w:rPr>
      </w:pPr>
      <w:r w:rsidRPr="00CC00D4">
        <w:rPr>
          <w:rFonts w:cs="Tahoma"/>
          <w:bCs/>
          <w:szCs w:val="20"/>
        </w:rPr>
        <w:t>002 se l’ente di certificazione è la Provincia;</w:t>
      </w:r>
    </w:p>
    <w:p w14:paraId="324FABDF" w14:textId="77777777" w:rsidR="002558B3" w:rsidRPr="00CC00D4" w:rsidRDefault="002558B3">
      <w:pPr>
        <w:pStyle w:val="Paragrafoelenco"/>
        <w:numPr>
          <w:ilvl w:val="0"/>
          <w:numId w:val="106"/>
        </w:numPr>
        <w:autoSpaceDN w:val="0"/>
        <w:ind w:left="709" w:hanging="357"/>
        <w:contextualSpacing/>
        <w:textAlignment w:val="baseline"/>
        <w:rPr>
          <w:rFonts w:cs="Tahoma"/>
          <w:szCs w:val="20"/>
        </w:rPr>
      </w:pPr>
      <w:r w:rsidRPr="00CC00D4">
        <w:rPr>
          <w:rFonts w:cs="Tahoma"/>
          <w:bCs/>
          <w:szCs w:val="20"/>
        </w:rPr>
        <w:t>003 per l’Università;</w:t>
      </w:r>
    </w:p>
    <w:p w14:paraId="3FF32E87" w14:textId="7C7109BC" w:rsidR="002558B3" w:rsidRPr="00CC00D4" w:rsidRDefault="002558B3" w:rsidP="002558B3">
      <w:pPr>
        <w:pStyle w:val="Paragrafoelenco"/>
        <w:numPr>
          <w:ilvl w:val="0"/>
          <w:numId w:val="106"/>
        </w:numPr>
        <w:autoSpaceDN w:val="0"/>
        <w:ind w:left="709"/>
        <w:textAlignment w:val="baseline"/>
        <w:rPr>
          <w:rFonts w:cs="Tahoma"/>
          <w:szCs w:val="20"/>
        </w:rPr>
      </w:pPr>
      <w:r w:rsidRPr="00CC00D4">
        <w:rPr>
          <w:rFonts w:cs="Tahoma"/>
          <w:bCs/>
          <w:szCs w:val="20"/>
        </w:rPr>
        <w:t>004 per la certificazione effettuata dagli enti bilaterali.</w:t>
      </w:r>
    </w:p>
    <w:p w14:paraId="555FE2CA" w14:textId="77777777" w:rsidR="00634069" w:rsidRPr="00CC00D4" w:rsidRDefault="00634069" w:rsidP="009E4A78">
      <w:pPr>
        <w:pStyle w:val="Titolo3"/>
      </w:pPr>
      <w:bookmarkStart w:id="169" w:name="__RefHeading__4450_1479815270"/>
      <w:bookmarkStart w:id="170" w:name="_Toc92386491"/>
    </w:p>
    <w:p w14:paraId="6F4CD179" w14:textId="4111726F" w:rsidR="002558B3" w:rsidRPr="00CC00D4" w:rsidRDefault="002558B3" w:rsidP="009E4A78">
      <w:pPr>
        <w:pStyle w:val="Titolo3"/>
      </w:pPr>
      <w:bookmarkStart w:id="171" w:name="_Toc124266259"/>
      <w:r w:rsidRPr="00CC00D4">
        <w:t>3.16.7 Agevolazioni</w:t>
      </w:r>
      <w:bookmarkEnd w:id="169"/>
      <w:bookmarkEnd w:id="170"/>
      <w:bookmarkEnd w:id="171"/>
    </w:p>
    <w:p w14:paraId="1BBB18DA" w14:textId="66FB34B4"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Eventuali agevolazioni contributive riguardanti il versamento alla Gestione Separata dovranno essere riportate nell’elemento </w:t>
      </w:r>
      <w:r w:rsidRPr="00CC00D4">
        <w:rPr>
          <w:rFonts w:ascii="Tahoma" w:hAnsi="Tahoma" w:cs="Tahoma"/>
          <w:bCs/>
          <w:i/>
          <w:iCs/>
          <w:kern w:val="0"/>
          <w:sz w:val="20"/>
          <w:szCs w:val="20"/>
        </w:rPr>
        <w:t xml:space="preserve">&lt;Agevolazione&gt; </w:t>
      </w:r>
      <w:r w:rsidRPr="00CC00D4">
        <w:rPr>
          <w:rFonts w:ascii="Tahoma" w:hAnsi="Tahoma" w:cs="Tahoma"/>
          <w:bCs/>
          <w:kern w:val="0"/>
          <w:sz w:val="20"/>
          <w:szCs w:val="20"/>
        </w:rPr>
        <w:t>composto da:</w:t>
      </w:r>
    </w:p>
    <w:p w14:paraId="73B513AC" w14:textId="77777777" w:rsidR="002558B3" w:rsidRPr="00CC00D4" w:rsidRDefault="002558B3">
      <w:pPr>
        <w:pStyle w:val="Paragrafoelenco"/>
        <w:numPr>
          <w:ilvl w:val="0"/>
          <w:numId w:val="109"/>
        </w:numPr>
        <w:autoSpaceDN w:val="0"/>
        <w:ind w:left="709" w:hanging="357"/>
        <w:contextualSpacing/>
        <w:textAlignment w:val="baseline"/>
        <w:rPr>
          <w:rFonts w:cs="Tahoma"/>
          <w:szCs w:val="20"/>
        </w:rPr>
      </w:pPr>
      <w:r w:rsidRPr="00CC00D4">
        <w:rPr>
          <w:rFonts w:cs="Tahoma"/>
          <w:bCs/>
          <w:i/>
          <w:iCs/>
          <w:szCs w:val="20"/>
        </w:rPr>
        <w:t xml:space="preserve">&lt;ImpAgevolazione&gt; </w:t>
      </w:r>
      <w:r w:rsidRPr="00CC00D4">
        <w:rPr>
          <w:rFonts w:cs="Tahoma"/>
          <w:bCs/>
          <w:szCs w:val="20"/>
        </w:rPr>
        <w:t>con l’ammontare dello sgravio contributivo;</w:t>
      </w:r>
    </w:p>
    <w:p w14:paraId="04C09B55" w14:textId="77777777" w:rsidR="002558B3" w:rsidRPr="00CC00D4" w:rsidRDefault="002558B3">
      <w:pPr>
        <w:pStyle w:val="Paragrafoelenco"/>
        <w:numPr>
          <w:ilvl w:val="0"/>
          <w:numId w:val="109"/>
        </w:numPr>
        <w:autoSpaceDN w:val="0"/>
        <w:ind w:left="709"/>
        <w:textAlignment w:val="baseline"/>
        <w:rPr>
          <w:rFonts w:cs="Tahoma"/>
          <w:szCs w:val="20"/>
        </w:rPr>
      </w:pPr>
      <w:r w:rsidRPr="00CC00D4">
        <w:rPr>
          <w:rFonts w:cs="Tahoma"/>
          <w:bCs/>
          <w:i/>
          <w:iCs/>
          <w:szCs w:val="20"/>
        </w:rPr>
        <w:t xml:space="preserve">&lt;TipoAgevolazione&gt; </w:t>
      </w:r>
      <w:r w:rsidRPr="00CC00D4">
        <w:rPr>
          <w:rFonts w:cs="Tahoma"/>
          <w:bCs/>
          <w:szCs w:val="20"/>
        </w:rPr>
        <w:t>contenente il codice identificativo dell’agevolazione.</w:t>
      </w:r>
    </w:p>
    <w:p w14:paraId="6C13CA7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Nel campo </w:t>
      </w:r>
      <w:r w:rsidRPr="00CC00D4">
        <w:rPr>
          <w:rFonts w:ascii="Tahoma" w:hAnsi="Tahoma" w:cs="Tahoma"/>
          <w:bCs/>
          <w:i/>
          <w:iCs/>
          <w:kern w:val="0"/>
          <w:sz w:val="20"/>
          <w:szCs w:val="20"/>
        </w:rPr>
        <w:t>&lt;TipoAgevolazione&gt;</w:t>
      </w:r>
      <w:r w:rsidRPr="00CC00D4">
        <w:rPr>
          <w:rFonts w:ascii="Tahoma" w:hAnsi="Tahoma" w:cs="Tahoma"/>
          <w:bCs/>
          <w:kern w:val="0"/>
          <w:sz w:val="20"/>
          <w:szCs w:val="20"/>
        </w:rPr>
        <w:t xml:space="preserve"> i valori possibili sono:</w:t>
      </w:r>
    </w:p>
    <w:p w14:paraId="4E4A4497" w14:textId="77777777" w:rsidR="002558B3" w:rsidRPr="00CC00D4" w:rsidRDefault="002558B3">
      <w:pPr>
        <w:pStyle w:val="Paragrafoelenco"/>
        <w:numPr>
          <w:ilvl w:val="0"/>
          <w:numId w:val="108"/>
        </w:numPr>
        <w:autoSpaceDN w:val="0"/>
        <w:ind w:left="709" w:hanging="357"/>
        <w:contextualSpacing/>
        <w:textAlignment w:val="baseline"/>
        <w:rPr>
          <w:rFonts w:cs="Tahoma"/>
          <w:szCs w:val="20"/>
        </w:rPr>
      </w:pPr>
      <w:r w:rsidRPr="00CC00D4">
        <w:rPr>
          <w:rFonts w:cs="Tahoma"/>
          <w:bCs/>
          <w:szCs w:val="20"/>
        </w:rPr>
        <w:t>01, per l’agevolazione contributiva riconosciuta in favore degli ex lavoratori socialmente utili che collaborano con la PA, prevista dal Decreto legislativo 28 febbraio 2000 numero 81;</w:t>
      </w:r>
    </w:p>
    <w:p w14:paraId="1236324B" w14:textId="77777777" w:rsidR="002558B3" w:rsidRPr="00CC00D4" w:rsidRDefault="002558B3">
      <w:pPr>
        <w:pStyle w:val="Paragrafoelenco"/>
        <w:numPr>
          <w:ilvl w:val="0"/>
          <w:numId w:val="108"/>
        </w:numPr>
        <w:autoSpaceDN w:val="0"/>
        <w:ind w:left="709" w:hanging="357"/>
        <w:contextualSpacing/>
        <w:textAlignment w:val="baseline"/>
        <w:rPr>
          <w:rFonts w:cs="Tahoma"/>
          <w:szCs w:val="20"/>
        </w:rPr>
      </w:pPr>
      <w:r w:rsidRPr="00CC00D4">
        <w:rPr>
          <w:rFonts w:cs="Tahoma"/>
          <w:bCs/>
          <w:szCs w:val="20"/>
        </w:rPr>
        <w:t>02, riguardante l’agevolazione contributiva in favore degli ex lavoratori socialmente utili che collaborano con la PA, disciplinata dal Decreto legislativo 28 febbraio 2000 numero 81 (per periodi ante 2005);</w:t>
      </w:r>
    </w:p>
    <w:p w14:paraId="44342E21" w14:textId="77777777" w:rsidR="002558B3" w:rsidRPr="00CC00D4" w:rsidRDefault="002558B3">
      <w:pPr>
        <w:pStyle w:val="Paragrafoelenco"/>
        <w:numPr>
          <w:ilvl w:val="0"/>
          <w:numId w:val="108"/>
        </w:numPr>
        <w:autoSpaceDN w:val="0"/>
        <w:ind w:left="709" w:hanging="357"/>
        <w:contextualSpacing/>
        <w:textAlignment w:val="baseline"/>
        <w:rPr>
          <w:rFonts w:cs="Tahoma"/>
          <w:szCs w:val="20"/>
        </w:rPr>
      </w:pPr>
      <w:r w:rsidRPr="00CC00D4">
        <w:rPr>
          <w:rFonts w:cs="Tahoma"/>
          <w:bCs/>
          <w:szCs w:val="20"/>
        </w:rPr>
        <w:lastRenderedPageBreak/>
        <w:t>04, per l’agevolazione contributiva pari ad un terzo in favore degli ex lavoratori socialmente utili che collaborano con gli Istituti scolastici, di cui al Decreto legislativo 28 febbraio 2000 numero 81;</w:t>
      </w:r>
    </w:p>
    <w:p w14:paraId="78BC3ECE" w14:textId="08345AB7" w:rsidR="002558B3" w:rsidRPr="00CC00D4" w:rsidRDefault="002558B3" w:rsidP="002558B3">
      <w:pPr>
        <w:pStyle w:val="Paragrafoelenco"/>
        <w:numPr>
          <w:ilvl w:val="0"/>
          <w:numId w:val="108"/>
        </w:numPr>
        <w:autoSpaceDN w:val="0"/>
        <w:ind w:left="709"/>
        <w:textAlignment w:val="baseline"/>
        <w:rPr>
          <w:rFonts w:cs="Tahoma"/>
          <w:szCs w:val="20"/>
        </w:rPr>
      </w:pPr>
      <w:r w:rsidRPr="00CC00D4">
        <w:rPr>
          <w:rFonts w:cs="Tahoma"/>
          <w:bCs/>
          <w:szCs w:val="20"/>
        </w:rPr>
        <w:t>94, restituzione dell’agevolazione contributiva 04, pari ad un terzo in favore degli ex lavoratori socialmente utili che collaborano con gli Istituti scolastici, indebitamente fruita.</w:t>
      </w:r>
    </w:p>
    <w:p w14:paraId="5402A8C5" w14:textId="77777777" w:rsidR="00634069" w:rsidRPr="00CC00D4" w:rsidRDefault="00634069" w:rsidP="009E4A78">
      <w:pPr>
        <w:pStyle w:val="Titolo3"/>
        <w:rPr>
          <w:b w:val="0"/>
        </w:rPr>
      </w:pPr>
      <w:bookmarkStart w:id="172" w:name="__RefHeading__4452_1479815270"/>
      <w:bookmarkStart w:id="173" w:name="_Toc92386492"/>
    </w:p>
    <w:p w14:paraId="68C26DBA" w14:textId="5A8C50BF" w:rsidR="002558B3" w:rsidRPr="00CC00D4" w:rsidRDefault="002558B3" w:rsidP="009E4A78">
      <w:pPr>
        <w:pStyle w:val="Titolo3"/>
        <w:rPr>
          <w:b w:val="0"/>
        </w:rPr>
      </w:pPr>
      <w:bookmarkStart w:id="174" w:name="_Toc124266260"/>
      <w:r w:rsidRPr="00CC00D4">
        <w:t>3.16.8 Flusso unico e procedura di invio</w:t>
      </w:r>
      <w:bookmarkEnd w:id="172"/>
      <w:bookmarkEnd w:id="173"/>
      <w:bookmarkEnd w:id="174"/>
    </w:p>
    <w:p w14:paraId="05F8736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realtà economico-produttive operanti in qualità di datori di lavoro e committenti, hanno la possibilità di inviare un flusso UniEmens unico riguardante i contributi dovuti per i lavoratori dipendenti e quelli destinati alla Gestione Separata INPS (cosiddetta “</w:t>
      </w:r>
      <w:r w:rsidRPr="00CC00D4">
        <w:rPr>
          <w:rFonts w:ascii="Tahoma" w:hAnsi="Tahoma" w:cs="Tahoma"/>
          <w:bCs/>
          <w:i/>
          <w:iCs/>
          <w:kern w:val="0"/>
          <w:sz w:val="20"/>
          <w:szCs w:val="20"/>
        </w:rPr>
        <w:t>ListaCollaboratori</w:t>
      </w:r>
      <w:r w:rsidRPr="00CC00D4">
        <w:rPr>
          <w:rFonts w:ascii="Tahoma" w:hAnsi="Tahoma" w:cs="Tahoma"/>
          <w:bCs/>
          <w:kern w:val="0"/>
          <w:sz w:val="20"/>
          <w:szCs w:val="20"/>
        </w:rPr>
        <w:t>”) per collaboratori coordinati e continuativi e lavoratori autonomi occasionali.</w:t>
      </w:r>
    </w:p>
    <w:p w14:paraId="276F1EE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inviare la denuncia è necessario innanzitutto validare il file (formato XML) generato dal programma paghe attraverso il “</w:t>
      </w:r>
      <w:hyperlink r:id="rId37" w:history="1">
        <w:r w:rsidRPr="00CC00D4">
          <w:rPr>
            <w:rStyle w:val="Collegamentoipertestuale"/>
            <w:rFonts w:ascii="Tahoma" w:hAnsi="Tahoma" w:cs="Tahoma"/>
            <w:bCs/>
            <w:kern w:val="0"/>
            <w:sz w:val="20"/>
            <w:szCs w:val="20"/>
          </w:rPr>
          <w:t>Software di controllo UniEmens Inviduale</w:t>
        </w:r>
      </w:hyperlink>
      <w:r w:rsidRPr="00CC00D4">
        <w:rPr>
          <w:rFonts w:ascii="Tahoma" w:hAnsi="Tahoma" w:cs="Tahoma"/>
          <w:bCs/>
          <w:kern w:val="0"/>
          <w:sz w:val="20"/>
          <w:szCs w:val="20"/>
        </w:rPr>
        <w:t>” (applicativo su Desktop), scaricabile gratuitamente dal portale “</w:t>
      </w:r>
      <w:r w:rsidRPr="00CC00D4">
        <w:rPr>
          <w:rFonts w:ascii="Tahoma" w:hAnsi="Tahoma" w:cs="Tahoma"/>
          <w:bCs/>
          <w:i/>
          <w:iCs/>
          <w:kern w:val="0"/>
          <w:sz w:val="20"/>
          <w:szCs w:val="20"/>
        </w:rPr>
        <w:t>inps.it</w:t>
      </w:r>
      <w:r w:rsidRPr="00CC00D4">
        <w:rPr>
          <w:rFonts w:ascii="Tahoma" w:hAnsi="Tahoma" w:cs="Tahoma"/>
          <w:bCs/>
          <w:kern w:val="0"/>
          <w:sz w:val="20"/>
          <w:szCs w:val="20"/>
        </w:rPr>
        <w:t>” percorso “</w:t>
      </w:r>
      <w:r w:rsidRPr="00CC00D4">
        <w:rPr>
          <w:rFonts w:ascii="Tahoma" w:hAnsi="Tahoma" w:cs="Tahoma"/>
          <w:bCs/>
          <w:i/>
          <w:iCs/>
          <w:kern w:val="0"/>
          <w:sz w:val="20"/>
          <w:szCs w:val="20"/>
        </w:rPr>
        <w:t>Home – Prestazioni e servizi – Software – Software di controllo UniEmens Individuale (applicato su Desktop)</w:t>
      </w:r>
      <w:r w:rsidRPr="00CC00D4">
        <w:rPr>
          <w:rFonts w:ascii="Tahoma" w:hAnsi="Tahoma" w:cs="Tahoma"/>
          <w:bCs/>
          <w:kern w:val="0"/>
          <w:sz w:val="20"/>
          <w:szCs w:val="20"/>
        </w:rPr>
        <w:t>”.</w:t>
      </w:r>
    </w:p>
    <w:p w14:paraId="6D01C63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Una volta selezionato il file XML e lanciata la fase di elaborazione il programma effettua i seguenti controlli:</w:t>
      </w:r>
    </w:p>
    <w:p w14:paraId="781DB8DD" w14:textId="77777777" w:rsidR="002558B3" w:rsidRPr="00CC00D4" w:rsidRDefault="002558B3">
      <w:pPr>
        <w:pStyle w:val="Paragrafoelenco"/>
        <w:numPr>
          <w:ilvl w:val="0"/>
          <w:numId w:val="107"/>
        </w:numPr>
        <w:autoSpaceDN w:val="0"/>
        <w:ind w:left="709" w:hanging="357"/>
        <w:contextualSpacing/>
        <w:textAlignment w:val="baseline"/>
        <w:rPr>
          <w:rFonts w:cs="Tahoma"/>
          <w:szCs w:val="20"/>
        </w:rPr>
      </w:pPr>
      <w:r w:rsidRPr="00CC00D4">
        <w:rPr>
          <w:rFonts w:cs="Tahoma"/>
          <w:bCs/>
          <w:szCs w:val="20"/>
        </w:rPr>
        <w:t>Validazione di conformità;</w:t>
      </w:r>
    </w:p>
    <w:p w14:paraId="2749FFC8" w14:textId="77777777" w:rsidR="002558B3" w:rsidRPr="00CC00D4" w:rsidRDefault="002558B3">
      <w:pPr>
        <w:pStyle w:val="Paragrafoelenco"/>
        <w:numPr>
          <w:ilvl w:val="0"/>
          <w:numId w:val="107"/>
        </w:numPr>
        <w:autoSpaceDN w:val="0"/>
        <w:ind w:left="709" w:hanging="357"/>
        <w:contextualSpacing/>
        <w:textAlignment w:val="baseline"/>
        <w:rPr>
          <w:rFonts w:cs="Tahoma"/>
          <w:szCs w:val="20"/>
        </w:rPr>
      </w:pPr>
      <w:r w:rsidRPr="00CC00D4">
        <w:rPr>
          <w:rFonts w:cs="Tahoma"/>
          <w:bCs/>
          <w:szCs w:val="20"/>
        </w:rPr>
        <w:t>Verifica posizioni aziendali e prelievo delle caratteristiche contributive;</w:t>
      </w:r>
    </w:p>
    <w:p w14:paraId="5CE65B1E" w14:textId="77777777" w:rsidR="002558B3" w:rsidRPr="00CC00D4" w:rsidRDefault="002558B3">
      <w:pPr>
        <w:pStyle w:val="Paragrafoelenco"/>
        <w:numPr>
          <w:ilvl w:val="0"/>
          <w:numId w:val="107"/>
        </w:numPr>
        <w:autoSpaceDN w:val="0"/>
        <w:ind w:left="709" w:hanging="357"/>
        <w:contextualSpacing/>
        <w:textAlignment w:val="baseline"/>
        <w:rPr>
          <w:rFonts w:cs="Tahoma"/>
          <w:szCs w:val="20"/>
        </w:rPr>
      </w:pPr>
      <w:r w:rsidRPr="00CC00D4">
        <w:rPr>
          <w:rFonts w:cs="Tahoma"/>
          <w:bCs/>
          <w:szCs w:val="20"/>
        </w:rPr>
        <w:t>Controlli estesi;</w:t>
      </w:r>
    </w:p>
    <w:p w14:paraId="0C428856" w14:textId="77777777" w:rsidR="002558B3" w:rsidRPr="00CC00D4" w:rsidRDefault="002558B3">
      <w:pPr>
        <w:pStyle w:val="Paragrafoelenco"/>
        <w:numPr>
          <w:ilvl w:val="0"/>
          <w:numId w:val="107"/>
        </w:numPr>
        <w:autoSpaceDN w:val="0"/>
        <w:ind w:left="709"/>
        <w:textAlignment w:val="baseline"/>
        <w:rPr>
          <w:rFonts w:cs="Tahoma"/>
          <w:szCs w:val="20"/>
        </w:rPr>
      </w:pPr>
      <w:r w:rsidRPr="00CC00D4">
        <w:rPr>
          <w:rFonts w:cs="Tahoma"/>
          <w:bCs/>
          <w:szCs w:val="20"/>
        </w:rPr>
        <w:t>Zippatura, crittografia e firma digitale.</w:t>
      </w:r>
    </w:p>
    <w:p w14:paraId="6F74F71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 caso in cui tutte le procedure sopra elencate diano esito positivo, il software genererà il file da caricare sul sito INPS per l’invio, con estensione “UniEM”.</w:t>
      </w:r>
    </w:p>
    <w:p w14:paraId="753777B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fase successiva prevede il collegamento al portale “</w:t>
      </w:r>
      <w:r w:rsidRPr="00CC00D4">
        <w:rPr>
          <w:rFonts w:ascii="Tahoma" w:hAnsi="Tahoma" w:cs="Tahoma"/>
          <w:bCs/>
          <w:i/>
          <w:iCs/>
          <w:kern w:val="0"/>
          <w:sz w:val="20"/>
          <w:szCs w:val="20"/>
        </w:rPr>
        <w:t>inps.it</w:t>
      </w:r>
      <w:r w:rsidRPr="00CC00D4">
        <w:rPr>
          <w:rFonts w:ascii="Tahoma" w:hAnsi="Tahoma" w:cs="Tahoma"/>
          <w:bCs/>
          <w:kern w:val="0"/>
          <w:sz w:val="20"/>
          <w:szCs w:val="20"/>
        </w:rPr>
        <w:t xml:space="preserve"> </w:t>
      </w:r>
      <w:r w:rsidRPr="00CC00D4">
        <w:rPr>
          <w:rFonts w:ascii="Tahoma" w:hAnsi="Tahoma" w:cs="Tahoma"/>
          <w:bCs/>
          <w:i/>
          <w:iCs/>
          <w:kern w:val="0"/>
          <w:sz w:val="20"/>
          <w:szCs w:val="20"/>
        </w:rPr>
        <w:t>– Prestazioni e Servizi – Servizi per le aziende e consulenti</w:t>
      </w:r>
      <w:r w:rsidRPr="00CC00D4">
        <w:rPr>
          <w:rFonts w:ascii="Tahoma" w:hAnsi="Tahoma" w:cs="Tahoma"/>
          <w:bCs/>
          <w:kern w:val="0"/>
          <w:sz w:val="20"/>
          <w:szCs w:val="20"/>
        </w:rPr>
        <w:t>” e l’inserimento delle credenziali SPID, CIE o CNS.</w:t>
      </w:r>
    </w:p>
    <w:p w14:paraId="6BF8327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L’invio del file UniEmens avviene selezionando dal menù principale “</w:t>
      </w:r>
      <w:r w:rsidRPr="00CC00D4">
        <w:rPr>
          <w:rFonts w:ascii="Tahoma" w:hAnsi="Tahoma" w:cs="Tahoma"/>
          <w:bCs/>
          <w:i/>
          <w:iCs/>
          <w:kern w:val="0"/>
          <w:sz w:val="20"/>
          <w:szCs w:val="20"/>
        </w:rPr>
        <w:t>UNIEMENS – Invio Denunce Individuali</w:t>
      </w:r>
      <w:r w:rsidRPr="00CC00D4">
        <w:rPr>
          <w:rFonts w:ascii="Tahoma" w:hAnsi="Tahoma" w:cs="Tahoma"/>
          <w:bCs/>
          <w:kern w:val="0"/>
          <w:sz w:val="20"/>
          <w:szCs w:val="20"/>
        </w:rPr>
        <w:t>”.</w:t>
      </w:r>
    </w:p>
    <w:p w14:paraId="2BB6009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trasmissione avvenuta il sistema produce una ricevuta (scaricabile in pdf) con indicato il debito nei confronti dell’INPS – Gestione Separata.</w:t>
      </w:r>
    </w:p>
    <w:p w14:paraId="7A1B928D" w14:textId="77777777" w:rsidR="002558B3" w:rsidRPr="00CC00D4" w:rsidRDefault="002558B3" w:rsidP="002558B3">
      <w:pPr>
        <w:pStyle w:val="Standard"/>
        <w:spacing w:after="200" w:line="360" w:lineRule="auto"/>
        <w:jc w:val="both"/>
        <w:rPr>
          <w:rFonts w:ascii="Tahoma" w:hAnsi="Tahoma" w:cs="Tahoma"/>
          <w:b/>
          <w:i/>
          <w:kern w:val="0"/>
          <w:sz w:val="20"/>
          <w:szCs w:val="20"/>
        </w:rPr>
      </w:pPr>
    </w:p>
    <w:p w14:paraId="0ED22A4E" w14:textId="77777777" w:rsidR="00A46027" w:rsidRPr="00CC00D4" w:rsidRDefault="00A46027" w:rsidP="00BA638F">
      <w:pPr>
        <w:pStyle w:val="Titolo1"/>
        <w:sectPr w:rsidR="00A46027" w:rsidRPr="00CC00D4">
          <w:pgSz w:w="11906" w:h="16838"/>
          <w:pgMar w:top="776" w:right="1134" w:bottom="777" w:left="1134" w:header="720" w:footer="720" w:gutter="0"/>
          <w:cols w:space="720"/>
          <w:titlePg/>
          <w:docGrid w:linePitch="272"/>
        </w:sectPr>
      </w:pPr>
      <w:bookmarkStart w:id="175" w:name="__RefHeading__4454_1479815270"/>
      <w:bookmarkStart w:id="176" w:name="_Toc92386493"/>
    </w:p>
    <w:p w14:paraId="2FADA836" w14:textId="77777777" w:rsidR="0067392E" w:rsidRPr="00CC00D4" w:rsidRDefault="002558B3" w:rsidP="00BA638F">
      <w:pPr>
        <w:pStyle w:val="Titolo1"/>
      </w:pPr>
      <w:bookmarkStart w:id="177" w:name="_Toc124266261"/>
      <w:r w:rsidRPr="00CC00D4">
        <w:lastRenderedPageBreak/>
        <w:t>4</w:t>
      </w:r>
      <w:r w:rsidR="0067392E" w:rsidRPr="00CC00D4">
        <w:t>.</w:t>
      </w:r>
      <w:bookmarkEnd w:id="177"/>
      <w:r w:rsidRPr="00CC00D4">
        <w:t xml:space="preserve"> </w:t>
      </w:r>
    </w:p>
    <w:bookmarkStart w:id="178" w:name="_Toc124266262"/>
    <w:p w14:paraId="341AEA19" w14:textId="4B683575" w:rsidR="002558B3" w:rsidRPr="00CC00D4" w:rsidRDefault="00985370" w:rsidP="00BA638F">
      <w:pPr>
        <w:pStyle w:val="Titolo1"/>
      </w:pPr>
      <w:r w:rsidRPr="00CC00D4">
        <w:rPr>
          <w:b w:val="0"/>
          <w:i/>
          <w:iCs/>
          <w:noProof/>
          <w:kern w:val="0"/>
          <w:sz w:val="20"/>
          <w:szCs w:val="20"/>
          <w:lang w:eastAsia="it-IT"/>
        </w:rPr>
        <mc:AlternateContent>
          <mc:Choice Requires="wps">
            <w:drawing>
              <wp:anchor distT="0" distB="0" distL="114300" distR="114300" simplePos="0" relativeHeight="251659264" behindDoc="0" locked="0" layoutInCell="1" allowOverlap="1" wp14:anchorId="518E23C7" wp14:editId="54FF69E0">
                <wp:simplePos x="0" y="0"/>
                <wp:positionH relativeFrom="column">
                  <wp:posOffset>1797050</wp:posOffset>
                </wp:positionH>
                <wp:positionV relativeFrom="paragraph">
                  <wp:posOffset>53975</wp:posOffset>
                </wp:positionV>
                <wp:extent cx="2443480" cy="6350"/>
                <wp:effectExtent l="12065" t="12700" r="11430" b="19050"/>
                <wp:wrapNone/>
                <wp:docPr id="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B78D0" id="AutoShape 120" o:spid="_x0000_s1026" type="#_x0000_t32" style="position:absolute;margin-left:141.5pt;margin-top:4.25pt;width:192.4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" strokecolor="#404040" strokeweight=".53mm">
                <v:stroke joinstyle="miter" endcap="square"/>
              </v:shape>
            </w:pict>
          </mc:Fallback>
        </mc:AlternateContent>
      </w:r>
      <w:r w:rsidR="002558B3" w:rsidRPr="00CC00D4">
        <w:t>Prestazioni garantite dalla Gestione Separata</w:t>
      </w:r>
      <w:bookmarkEnd w:id="175"/>
      <w:bookmarkEnd w:id="176"/>
      <w:bookmarkEnd w:id="178"/>
    </w:p>
    <w:p w14:paraId="079389B1" w14:textId="77777777" w:rsidR="002558B3" w:rsidRPr="00CC00D4" w:rsidRDefault="002558B3" w:rsidP="002558B3">
      <w:pPr>
        <w:pStyle w:val="Standard"/>
        <w:spacing w:after="200" w:line="360" w:lineRule="auto"/>
        <w:jc w:val="both"/>
        <w:rPr>
          <w:rFonts w:ascii="Tahoma" w:hAnsi="Tahoma" w:cs="Tahoma"/>
          <w:b/>
          <w:i/>
          <w:iCs/>
          <w:kern w:val="0"/>
          <w:sz w:val="20"/>
          <w:szCs w:val="20"/>
        </w:rPr>
      </w:pPr>
    </w:p>
    <w:p w14:paraId="4215FF27" w14:textId="77777777" w:rsidR="0067392E" w:rsidRPr="00CC00D4" w:rsidRDefault="0067392E" w:rsidP="002558B3">
      <w:pPr>
        <w:pStyle w:val="Standard"/>
        <w:spacing w:after="200" w:line="360" w:lineRule="auto"/>
        <w:jc w:val="both"/>
        <w:rPr>
          <w:rFonts w:ascii="Tahoma" w:hAnsi="Tahoma" w:cs="Tahoma"/>
          <w:b/>
          <w:i/>
          <w:iCs/>
          <w:kern w:val="0"/>
          <w:sz w:val="20"/>
          <w:szCs w:val="20"/>
        </w:rPr>
      </w:pPr>
    </w:p>
    <w:p w14:paraId="60EA4951" w14:textId="77777777" w:rsidR="0067392E" w:rsidRPr="00CC00D4" w:rsidRDefault="0067392E" w:rsidP="002558B3">
      <w:pPr>
        <w:pStyle w:val="Standard"/>
        <w:spacing w:after="200" w:line="360" w:lineRule="auto"/>
        <w:jc w:val="both"/>
        <w:rPr>
          <w:rFonts w:ascii="Tahoma" w:hAnsi="Tahoma" w:cs="Tahoma"/>
          <w:b/>
          <w:i/>
          <w:iCs/>
          <w:kern w:val="0"/>
          <w:sz w:val="20"/>
          <w:szCs w:val="20"/>
        </w:rPr>
      </w:pPr>
    </w:p>
    <w:p w14:paraId="170B9393" w14:textId="77777777" w:rsidR="0067392E" w:rsidRPr="00CC00D4" w:rsidRDefault="0067392E" w:rsidP="002558B3">
      <w:pPr>
        <w:pStyle w:val="Standard"/>
        <w:spacing w:after="200" w:line="360" w:lineRule="auto"/>
        <w:jc w:val="both"/>
        <w:rPr>
          <w:rFonts w:ascii="Tahoma" w:hAnsi="Tahoma" w:cs="Tahoma"/>
          <w:b/>
          <w:i/>
          <w:iCs/>
          <w:kern w:val="0"/>
          <w:sz w:val="20"/>
          <w:szCs w:val="20"/>
        </w:rPr>
      </w:pPr>
    </w:p>
    <w:p w14:paraId="32293E80" w14:textId="77777777" w:rsidR="0067392E" w:rsidRPr="00CC00D4" w:rsidRDefault="0067392E" w:rsidP="002558B3">
      <w:pPr>
        <w:pStyle w:val="Standard"/>
        <w:spacing w:after="200" w:line="360" w:lineRule="auto"/>
        <w:jc w:val="both"/>
        <w:rPr>
          <w:rFonts w:ascii="Tahoma" w:hAnsi="Tahoma" w:cs="Tahoma"/>
          <w:b/>
          <w:i/>
          <w:iCs/>
          <w:kern w:val="0"/>
          <w:sz w:val="20"/>
          <w:szCs w:val="20"/>
        </w:rPr>
      </w:pPr>
    </w:p>
    <w:p w14:paraId="734F9501" w14:textId="77777777" w:rsidR="0067392E" w:rsidRPr="00CC00D4" w:rsidRDefault="0067392E" w:rsidP="002558B3">
      <w:pPr>
        <w:pStyle w:val="Standard"/>
        <w:spacing w:after="200" w:line="360" w:lineRule="auto"/>
        <w:jc w:val="both"/>
        <w:rPr>
          <w:rFonts w:ascii="Tahoma" w:hAnsi="Tahoma" w:cs="Tahoma"/>
          <w:b/>
          <w:i/>
          <w:iCs/>
          <w:kern w:val="0"/>
          <w:sz w:val="20"/>
          <w:szCs w:val="20"/>
        </w:rPr>
      </w:pPr>
    </w:p>
    <w:p w14:paraId="4F1445C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Il contributo dovuto alla Gestione Separata pari, per il </w:t>
      </w:r>
      <w:r w:rsidR="00FA5439" w:rsidRPr="00CC00D4">
        <w:rPr>
          <w:rFonts w:ascii="Tahoma" w:hAnsi="Tahoma" w:cs="Tahoma"/>
          <w:bCs/>
          <w:kern w:val="0"/>
          <w:sz w:val="20"/>
          <w:szCs w:val="20"/>
        </w:rPr>
        <w:t>2022</w:t>
      </w:r>
      <w:r w:rsidRPr="00CC00D4">
        <w:rPr>
          <w:rFonts w:ascii="Tahoma" w:hAnsi="Tahoma" w:cs="Tahoma"/>
          <w:bCs/>
          <w:kern w:val="0"/>
          <w:sz w:val="20"/>
          <w:szCs w:val="20"/>
        </w:rPr>
        <w:t>, allo 0,72% è destinato a finanziare le seguenti prestazioni economiche:</w:t>
      </w:r>
    </w:p>
    <w:p w14:paraId="57C55A86" w14:textId="77777777" w:rsidR="002558B3" w:rsidRPr="00CC00D4" w:rsidRDefault="002558B3">
      <w:pPr>
        <w:pStyle w:val="Paragrafoelenco"/>
        <w:numPr>
          <w:ilvl w:val="0"/>
          <w:numId w:val="110"/>
        </w:numPr>
        <w:autoSpaceDN w:val="0"/>
        <w:ind w:left="709" w:hanging="357"/>
        <w:contextualSpacing/>
        <w:textAlignment w:val="baseline"/>
        <w:rPr>
          <w:rFonts w:cs="Tahoma"/>
          <w:szCs w:val="20"/>
        </w:rPr>
      </w:pPr>
      <w:r w:rsidRPr="00CC00D4">
        <w:rPr>
          <w:rFonts w:cs="Tahoma"/>
          <w:bCs/>
          <w:szCs w:val="20"/>
        </w:rPr>
        <w:t>Assegno per il Nucleo Familiare;</w:t>
      </w:r>
    </w:p>
    <w:p w14:paraId="492EBD37" w14:textId="77777777" w:rsidR="002558B3" w:rsidRPr="00CC00D4" w:rsidRDefault="002558B3">
      <w:pPr>
        <w:pStyle w:val="Paragrafoelenco"/>
        <w:numPr>
          <w:ilvl w:val="0"/>
          <w:numId w:val="110"/>
        </w:numPr>
        <w:autoSpaceDN w:val="0"/>
        <w:ind w:left="709" w:hanging="357"/>
        <w:contextualSpacing/>
        <w:textAlignment w:val="baseline"/>
        <w:rPr>
          <w:rFonts w:cs="Tahoma"/>
          <w:szCs w:val="20"/>
        </w:rPr>
      </w:pPr>
      <w:r w:rsidRPr="00CC00D4">
        <w:rPr>
          <w:rFonts w:cs="Tahoma"/>
          <w:bCs/>
          <w:szCs w:val="20"/>
        </w:rPr>
        <w:t>Malattia;</w:t>
      </w:r>
    </w:p>
    <w:p w14:paraId="211DCE75" w14:textId="77777777" w:rsidR="002558B3" w:rsidRPr="00CC00D4" w:rsidRDefault="002558B3">
      <w:pPr>
        <w:pStyle w:val="Paragrafoelenco"/>
        <w:numPr>
          <w:ilvl w:val="0"/>
          <w:numId w:val="110"/>
        </w:numPr>
        <w:autoSpaceDN w:val="0"/>
        <w:ind w:left="709"/>
        <w:textAlignment w:val="baseline"/>
        <w:rPr>
          <w:rFonts w:cs="Tahoma"/>
          <w:szCs w:val="20"/>
        </w:rPr>
      </w:pPr>
      <w:r w:rsidRPr="00CC00D4">
        <w:rPr>
          <w:rFonts w:cs="Tahoma"/>
          <w:bCs/>
          <w:szCs w:val="20"/>
        </w:rPr>
        <w:t>Maternità;</w:t>
      </w:r>
    </w:p>
    <w:p w14:paraId="0F86326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garantite ai lavoratori autonomi occasionali non pensionati né iscritti ad altre forme di previdenza obbligatorie.</w:t>
      </w:r>
    </w:p>
    <w:p w14:paraId="2A4943DC"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57BD149B" w14:textId="36B484E6" w:rsidR="002558B3" w:rsidRPr="00CC00D4" w:rsidRDefault="002558B3" w:rsidP="009E4A78">
      <w:pPr>
        <w:pStyle w:val="Titolo2"/>
      </w:pPr>
      <w:bookmarkStart w:id="179" w:name="__RefHeading__4456_1479815270"/>
      <w:bookmarkStart w:id="180" w:name="_Toc92386494"/>
      <w:bookmarkStart w:id="181" w:name="_Toc124266263"/>
      <w:r w:rsidRPr="00CC00D4">
        <w:t>4.1 Indennità di malattia</w:t>
      </w:r>
      <w:bookmarkEnd w:id="179"/>
      <w:bookmarkEnd w:id="180"/>
      <w:bookmarkEnd w:id="181"/>
    </w:p>
    <w:p w14:paraId="0BCC554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norma dell’articolo 1 comma 788 Legge 27 dicembre 2006 numero 296 “</w:t>
      </w:r>
      <w:r w:rsidRPr="00CC00D4">
        <w:rPr>
          <w:rFonts w:ascii="Tahoma" w:hAnsi="Tahoma" w:cs="Tahoma"/>
          <w:bCs/>
          <w:i/>
          <w:iCs/>
          <w:kern w:val="0"/>
          <w:sz w:val="20"/>
          <w:szCs w:val="20"/>
        </w:rPr>
        <w:t>a decorrere dal 1° gennaio 2007</w:t>
      </w:r>
      <w:r w:rsidRPr="00CC00D4">
        <w:rPr>
          <w:rFonts w:ascii="Tahoma" w:hAnsi="Tahoma" w:cs="Tahoma"/>
          <w:bCs/>
          <w:kern w:val="0"/>
          <w:sz w:val="20"/>
          <w:szCs w:val="20"/>
        </w:rPr>
        <w:t>” i lavoratori autonomi occasionali iscritti in via esclusiva alla Gestione Separata hanno diritto ad “</w:t>
      </w:r>
      <w:r w:rsidRPr="00CC00D4">
        <w:rPr>
          <w:rFonts w:ascii="Tahoma" w:hAnsi="Tahoma" w:cs="Tahoma"/>
          <w:bCs/>
          <w:i/>
          <w:iCs/>
          <w:kern w:val="0"/>
          <w:sz w:val="20"/>
          <w:szCs w:val="20"/>
        </w:rPr>
        <w:t>un’indennità giornaliera di malattia a carico dell’INPS</w:t>
      </w:r>
      <w:r w:rsidRPr="00CC00D4">
        <w:rPr>
          <w:rFonts w:ascii="Tahoma" w:hAnsi="Tahoma" w:cs="Tahoma"/>
          <w:bCs/>
          <w:kern w:val="0"/>
          <w:sz w:val="20"/>
          <w:szCs w:val="20"/>
        </w:rPr>
        <w:t>”, entro un limite massimo di giornate pari ad 1/6 della durata complessiva del rapporto di lavoro e, comunque, non inferiore a venti giorni nell’arco di ciascun anno solare “</w:t>
      </w:r>
      <w:r w:rsidRPr="00CC00D4">
        <w:rPr>
          <w:rFonts w:ascii="Tahoma" w:hAnsi="Tahoma" w:cs="Tahoma"/>
          <w:bCs/>
          <w:i/>
          <w:iCs/>
          <w:kern w:val="0"/>
          <w:sz w:val="20"/>
          <w:szCs w:val="20"/>
        </w:rPr>
        <w:t>con esclusione degli eventi morbosi di durata inferiore a quattro giorni</w:t>
      </w:r>
      <w:r w:rsidRPr="00CC00D4">
        <w:rPr>
          <w:rFonts w:ascii="Tahoma" w:hAnsi="Tahoma" w:cs="Tahoma"/>
          <w:bCs/>
          <w:kern w:val="0"/>
          <w:sz w:val="20"/>
          <w:szCs w:val="20"/>
        </w:rPr>
        <w:t>”.</w:t>
      </w:r>
    </w:p>
    <w:p w14:paraId="38F14064" w14:textId="7B6BFCBA"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contrario, per le malattie che configurino una continuazione o una ricaduta rispetto ad un precedente evento (di durata inferiore a quattro giorni) l’indennizzo (Circolare INPS 13 maggio 2013 numero 77) è “</w:t>
      </w:r>
      <w:r w:rsidRPr="00CC00D4">
        <w:rPr>
          <w:rFonts w:ascii="Tahoma" w:hAnsi="Tahoma" w:cs="Tahoma"/>
          <w:bCs/>
          <w:i/>
          <w:iCs/>
          <w:kern w:val="0"/>
          <w:sz w:val="20"/>
          <w:szCs w:val="20"/>
        </w:rPr>
        <w:t>previsto per l’intera durata dell’evento, compresi i primi 3 giorni</w:t>
      </w:r>
      <w:r w:rsidRPr="00CC00D4">
        <w:rPr>
          <w:rFonts w:ascii="Tahoma" w:hAnsi="Tahoma" w:cs="Tahoma"/>
          <w:bCs/>
          <w:kern w:val="0"/>
          <w:sz w:val="20"/>
          <w:szCs w:val="20"/>
        </w:rPr>
        <w:t>”.</w:t>
      </w:r>
    </w:p>
    <w:p w14:paraId="2806BCA4" w14:textId="3C8CB6F7" w:rsidR="002558B3" w:rsidRPr="00CC00D4" w:rsidRDefault="001105A9" w:rsidP="009E4A78">
      <w:pPr>
        <w:pStyle w:val="Titolo3"/>
        <w:rPr>
          <w:u w:val="none"/>
        </w:rPr>
      </w:pPr>
      <w:bookmarkStart w:id="182" w:name="__RefHeading__4458_1479815270"/>
      <w:bookmarkStart w:id="183" w:name="_Toc92386495"/>
      <w:r w:rsidRPr="00CC00D4">
        <w:br w:type="page"/>
      </w:r>
      <w:bookmarkStart w:id="184" w:name="_Toc124266264"/>
      <w:r w:rsidR="002558B3" w:rsidRPr="00CC00D4">
        <w:lastRenderedPageBreak/>
        <w:t>4.1.1 Requisiti</w:t>
      </w:r>
      <w:bookmarkEnd w:id="182"/>
      <w:bookmarkEnd w:id="183"/>
      <w:bookmarkEnd w:id="184"/>
    </w:p>
    <w:p w14:paraId="257F97B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L’indennità di malattia viene corrisposta a condizione che:</w:t>
      </w:r>
    </w:p>
    <w:p w14:paraId="2AEB89BE" w14:textId="77777777" w:rsidR="002558B3" w:rsidRPr="00CC00D4" w:rsidRDefault="002558B3">
      <w:pPr>
        <w:pStyle w:val="Paragrafoelenco"/>
        <w:numPr>
          <w:ilvl w:val="0"/>
          <w:numId w:val="111"/>
        </w:numPr>
        <w:autoSpaceDN w:val="0"/>
        <w:ind w:left="709" w:hanging="357"/>
        <w:contextualSpacing/>
        <w:textAlignment w:val="baseline"/>
        <w:rPr>
          <w:rFonts w:cs="Tahoma"/>
          <w:szCs w:val="20"/>
        </w:rPr>
      </w:pPr>
      <w:r w:rsidRPr="00CC00D4">
        <w:rPr>
          <w:rFonts w:cs="Tahoma"/>
          <w:bCs/>
          <w:szCs w:val="20"/>
        </w:rPr>
        <w:t>Risulti accreditato almeno un mese di contribuzione nella Gestione Separata nei dodici mesi precedenti la data di inizio della malattia;</w:t>
      </w:r>
    </w:p>
    <w:p w14:paraId="290FFE17" w14:textId="77777777" w:rsidR="002558B3" w:rsidRPr="00CC00D4" w:rsidRDefault="002558B3">
      <w:pPr>
        <w:pStyle w:val="Paragrafoelenco"/>
        <w:numPr>
          <w:ilvl w:val="0"/>
          <w:numId w:val="111"/>
        </w:numPr>
        <w:autoSpaceDN w:val="0"/>
        <w:ind w:left="709" w:hanging="357"/>
        <w:contextualSpacing/>
        <w:textAlignment w:val="baseline"/>
        <w:rPr>
          <w:rFonts w:cs="Tahoma"/>
          <w:szCs w:val="20"/>
        </w:rPr>
      </w:pPr>
      <w:r w:rsidRPr="00CC00D4">
        <w:rPr>
          <w:rFonts w:cs="Tahoma"/>
          <w:bCs/>
          <w:szCs w:val="20"/>
        </w:rPr>
        <w:t>Il reddito individuale imponibile ai fini INPS (totalizzato nell’anno solare che precede quello di inizio dell’evento) non sia superiore al 70% del massimale contributivo annuo (pari per il 202</w:t>
      </w:r>
      <w:r w:rsidR="000804BF" w:rsidRPr="00CC00D4">
        <w:rPr>
          <w:rFonts w:cs="Tahoma"/>
          <w:bCs/>
          <w:szCs w:val="20"/>
        </w:rPr>
        <w:t>2</w:t>
      </w:r>
      <w:r w:rsidRPr="00CC00D4">
        <w:rPr>
          <w:rFonts w:cs="Tahoma"/>
          <w:bCs/>
          <w:szCs w:val="20"/>
        </w:rPr>
        <w:t xml:space="preserve"> ad euro </w:t>
      </w:r>
      <w:r w:rsidR="000804BF" w:rsidRPr="00CC00D4">
        <w:rPr>
          <w:rFonts w:cs="Tahoma"/>
          <w:bCs/>
          <w:szCs w:val="20"/>
        </w:rPr>
        <w:t>105.014,00</w:t>
      </w:r>
      <w:r w:rsidRPr="00CC00D4">
        <w:rPr>
          <w:rFonts w:cs="Tahoma"/>
          <w:bCs/>
          <w:szCs w:val="20"/>
        </w:rPr>
        <w:t>);</w:t>
      </w:r>
    </w:p>
    <w:p w14:paraId="65937771" w14:textId="77777777" w:rsidR="002558B3" w:rsidRPr="00CC00D4" w:rsidRDefault="002558B3">
      <w:pPr>
        <w:pStyle w:val="Paragrafoelenco"/>
        <w:numPr>
          <w:ilvl w:val="0"/>
          <w:numId w:val="111"/>
        </w:numPr>
        <w:autoSpaceDN w:val="0"/>
        <w:ind w:left="709"/>
        <w:textAlignment w:val="baseline"/>
        <w:rPr>
          <w:rFonts w:cs="Tahoma"/>
          <w:szCs w:val="20"/>
        </w:rPr>
      </w:pPr>
      <w:r w:rsidRPr="00CC00D4">
        <w:rPr>
          <w:rFonts w:cs="Tahoma"/>
          <w:bCs/>
          <w:szCs w:val="20"/>
        </w:rPr>
        <w:t>Vi sia un’effettiva astensione dall’attività lavorativa, in corso al momento del verificarsi dell’evento morboso.</w:t>
      </w:r>
    </w:p>
    <w:p w14:paraId="655A280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merito all’accreditamento di un mese di contribuzione alla Gestione Separata, il limite si determina applicando l’aliquota contributiva (33,</w:t>
      </w:r>
      <w:r w:rsidR="000804BF" w:rsidRPr="00CC00D4">
        <w:rPr>
          <w:rFonts w:ascii="Tahoma" w:hAnsi="Tahoma" w:cs="Tahoma"/>
          <w:bCs/>
          <w:kern w:val="0"/>
          <w:sz w:val="20"/>
          <w:szCs w:val="20"/>
        </w:rPr>
        <w:t>72%) al minimale di reddito 2022</w:t>
      </w:r>
      <w:r w:rsidRPr="00CC00D4">
        <w:rPr>
          <w:rFonts w:ascii="Tahoma" w:hAnsi="Tahoma" w:cs="Tahoma"/>
          <w:bCs/>
          <w:kern w:val="0"/>
          <w:sz w:val="20"/>
          <w:szCs w:val="20"/>
        </w:rPr>
        <w:t xml:space="preserve"> (rapportato a mese) fissato in euro </w:t>
      </w:r>
      <w:r w:rsidR="000804BF" w:rsidRPr="00CC00D4">
        <w:rPr>
          <w:rFonts w:ascii="Tahoma" w:hAnsi="Tahoma" w:cs="Tahoma"/>
          <w:bCs/>
          <w:kern w:val="0"/>
          <w:sz w:val="20"/>
          <w:szCs w:val="20"/>
        </w:rPr>
        <w:t>16.243,00</w:t>
      </w:r>
      <w:r w:rsidRPr="00CC00D4">
        <w:rPr>
          <w:rFonts w:ascii="Tahoma" w:hAnsi="Tahoma" w:cs="Tahoma"/>
          <w:bCs/>
          <w:kern w:val="0"/>
          <w:sz w:val="20"/>
          <w:szCs w:val="20"/>
        </w:rPr>
        <w:t xml:space="preserve">.  </w:t>
      </w:r>
    </w:p>
    <w:p w14:paraId="4EBD952A"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5A104E30" w14:textId="4107BD00" w:rsidR="002558B3" w:rsidRPr="00CC00D4" w:rsidRDefault="002558B3" w:rsidP="009E4A78">
      <w:pPr>
        <w:pStyle w:val="Titolo3"/>
        <w:rPr>
          <w:u w:val="none"/>
        </w:rPr>
      </w:pPr>
      <w:bookmarkStart w:id="185" w:name="_Toc92386496"/>
      <w:bookmarkStart w:id="186" w:name="__RefHeading__4460_1479815270"/>
      <w:bookmarkStart w:id="187" w:name="_Toc124266265"/>
      <w:r w:rsidRPr="00CC00D4">
        <w:t>4.1.2 Limiti di durata</w:t>
      </w:r>
      <w:bookmarkEnd w:id="185"/>
      <w:bookmarkEnd w:id="186"/>
      <w:bookmarkEnd w:id="187"/>
    </w:p>
    <w:p w14:paraId="3E9470C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L’indennità di malattia spetta entro il limite massimo di giorni pari ad 1/6 della durata complessiva del rapporto di lavoro. Con quest’ultimo termine deve intendersi il numero delle giornate lavorate o comunque retribuite, nei “</w:t>
      </w:r>
      <w:r w:rsidRPr="00CC00D4">
        <w:rPr>
          <w:rFonts w:ascii="Tahoma" w:hAnsi="Tahoma" w:cs="Tahoma"/>
          <w:bCs/>
          <w:i/>
          <w:iCs/>
          <w:kern w:val="0"/>
          <w:sz w:val="20"/>
          <w:szCs w:val="20"/>
        </w:rPr>
        <w:t>dodici mesi precedenti l’inizio dell’evento di malattia</w:t>
      </w:r>
      <w:r w:rsidRPr="00CC00D4">
        <w:rPr>
          <w:rFonts w:ascii="Tahoma" w:hAnsi="Tahoma" w:cs="Tahoma"/>
          <w:bCs/>
          <w:kern w:val="0"/>
          <w:sz w:val="20"/>
          <w:szCs w:val="20"/>
        </w:rPr>
        <w:t>” (Circolare INPS numero 77).</w:t>
      </w:r>
    </w:p>
    <w:p w14:paraId="5FB7B7B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Pertanto, il numero di giorni indennizzabili dall’INPS, per le malattie che si verificano in uno stesso anno solare, non potrà superare il limite massimo annuale di 61 giorni pari ad 1/6 di 365.</w:t>
      </w:r>
    </w:p>
    <w:p w14:paraId="260EF7F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 coloro che non possono vantare periodi lavorativi superiori a centoventi giorni, il limite annuale è ridotto a venti giornate.</w:t>
      </w:r>
    </w:p>
    <w:p w14:paraId="274C73F6"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3B09700C" w14:textId="6967E944" w:rsidR="002558B3" w:rsidRPr="00CC00D4" w:rsidRDefault="002558B3" w:rsidP="009E4A78">
      <w:pPr>
        <w:pStyle w:val="Titolo3"/>
        <w:rPr>
          <w:u w:val="none"/>
        </w:rPr>
      </w:pPr>
      <w:bookmarkStart w:id="188" w:name="__RefHeading__4462_1479815270"/>
      <w:bookmarkStart w:id="189" w:name="_Toc92386497"/>
      <w:bookmarkStart w:id="190" w:name="_Toc124266266"/>
      <w:r w:rsidRPr="00CC00D4">
        <w:t>4.1.3 Giornate indennizzabili</w:t>
      </w:r>
      <w:bookmarkEnd w:id="188"/>
      <w:bookmarkEnd w:id="189"/>
      <w:bookmarkEnd w:id="190"/>
    </w:p>
    <w:p w14:paraId="741C415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Tutte le giornate di malattia, comprese le festività, sono indennizzabili dall’INPS sino al raggiungimento del limite previsto per evento o anno solare.</w:t>
      </w:r>
    </w:p>
    <w:p w14:paraId="7B049826"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7A4DE44F" w14:textId="63E0B7E0" w:rsidR="002558B3" w:rsidRPr="00CC00D4" w:rsidRDefault="001105A9" w:rsidP="009E4A78">
      <w:pPr>
        <w:pStyle w:val="Titolo3"/>
        <w:rPr>
          <w:u w:val="none"/>
        </w:rPr>
      </w:pPr>
      <w:bookmarkStart w:id="191" w:name="__RefHeading__4464_1479815270"/>
      <w:bookmarkStart w:id="192" w:name="_Toc92386498"/>
      <w:r w:rsidRPr="00CC00D4">
        <w:br w:type="page"/>
      </w:r>
      <w:bookmarkStart w:id="193" w:name="_Toc124266267"/>
      <w:r w:rsidR="002558B3" w:rsidRPr="00CC00D4">
        <w:lastRenderedPageBreak/>
        <w:t>4.1.4 Misura</w:t>
      </w:r>
      <w:bookmarkEnd w:id="191"/>
      <w:bookmarkEnd w:id="192"/>
      <w:bookmarkEnd w:id="193"/>
    </w:p>
    <w:p w14:paraId="193CAA4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L’importo riconosciuto dalla Gestione Separata è determinato in misura pari ad una percentuale graduata in funzione dei mesi di contribuzione totalizzati nell’anno precedente l’evento morboso, equivalente a:</w:t>
      </w:r>
    </w:p>
    <w:p w14:paraId="475E32B3" w14:textId="77777777" w:rsidR="002558B3" w:rsidRPr="00CC00D4" w:rsidRDefault="002558B3">
      <w:pPr>
        <w:pStyle w:val="Paragrafoelenco"/>
        <w:numPr>
          <w:ilvl w:val="0"/>
          <w:numId w:val="112"/>
        </w:numPr>
        <w:autoSpaceDN w:val="0"/>
        <w:ind w:left="709" w:hanging="357"/>
        <w:contextualSpacing/>
        <w:textAlignment w:val="baseline"/>
        <w:rPr>
          <w:rFonts w:cs="Tahoma"/>
          <w:szCs w:val="20"/>
        </w:rPr>
      </w:pPr>
      <w:r w:rsidRPr="00CC00D4">
        <w:rPr>
          <w:rFonts w:cs="Tahoma"/>
          <w:bCs/>
          <w:szCs w:val="20"/>
        </w:rPr>
        <w:t>8% se i mesi di contribuzione (anche non continuativi) nel periodo di riferimento sono compresi tra uno e quattro;</w:t>
      </w:r>
    </w:p>
    <w:p w14:paraId="03CBD7FF" w14:textId="77777777" w:rsidR="002558B3" w:rsidRPr="00CC00D4" w:rsidRDefault="002558B3">
      <w:pPr>
        <w:pStyle w:val="Paragrafoelenco"/>
        <w:numPr>
          <w:ilvl w:val="0"/>
          <w:numId w:val="112"/>
        </w:numPr>
        <w:autoSpaceDN w:val="0"/>
        <w:ind w:left="709" w:hanging="357"/>
        <w:contextualSpacing/>
        <w:textAlignment w:val="baseline"/>
        <w:rPr>
          <w:rFonts w:cs="Tahoma"/>
          <w:szCs w:val="20"/>
        </w:rPr>
      </w:pPr>
      <w:r w:rsidRPr="00CC00D4">
        <w:rPr>
          <w:rFonts w:cs="Tahoma"/>
          <w:bCs/>
          <w:szCs w:val="20"/>
        </w:rPr>
        <w:t>12% se i mesi di contribuzione sono compresi tra cinque e otto;</w:t>
      </w:r>
    </w:p>
    <w:p w14:paraId="3E29F261" w14:textId="77777777" w:rsidR="002558B3" w:rsidRPr="00CC00D4" w:rsidRDefault="002558B3">
      <w:pPr>
        <w:pStyle w:val="Paragrafoelenco"/>
        <w:numPr>
          <w:ilvl w:val="0"/>
          <w:numId w:val="112"/>
        </w:numPr>
        <w:autoSpaceDN w:val="0"/>
        <w:ind w:left="709"/>
        <w:textAlignment w:val="baseline"/>
        <w:rPr>
          <w:rFonts w:cs="Tahoma"/>
          <w:szCs w:val="20"/>
        </w:rPr>
      </w:pPr>
      <w:r w:rsidRPr="00CC00D4">
        <w:rPr>
          <w:rFonts w:cs="Tahoma"/>
          <w:bCs/>
          <w:szCs w:val="20"/>
        </w:rPr>
        <w:t>16% se i mesi di contribuzione sono compresi tra nove e dodici.</w:t>
      </w:r>
    </w:p>
    <w:p w14:paraId="6A445B8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Una volta individuata la percentuale questa dev’essere applicata sul massimale contributivo in vigore per l’anno di inizio della malattia. Ne consegue che per </w:t>
      </w:r>
      <w:r w:rsidR="00F32F1F" w:rsidRPr="00CC00D4">
        <w:rPr>
          <w:rFonts w:ascii="Tahoma" w:hAnsi="Tahoma" w:cs="Tahoma"/>
          <w:bCs/>
          <w:kern w:val="0"/>
          <w:sz w:val="20"/>
          <w:szCs w:val="20"/>
        </w:rPr>
        <w:t>il</w:t>
      </w:r>
      <w:r w:rsidRPr="00CC00D4">
        <w:rPr>
          <w:rFonts w:ascii="Tahoma" w:hAnsi="Tahoma" w:cs="Tahoma"/>
          <w:bCs/>
          <w:kern w:val="0"/>
          <w:sz w:val="20"/>
          <w:szCs w:val="20"/>
        </w:rPr>
        <w:t xml:space="preserve"> </w:t>
      </w:r>
      <w:r w:rsidR="000804BF" w:rsidRPr="00CC00D4">
        <w:rPr>
          <w:rFonts w:ascii="Tahoma" w:hAnsi="Tahoma" w:cs="Tahoma"/>
          <w:bCs/>
          <w:kern w:val="0"/>
          <w:sz w:val="20"/>
          <w:szCs w:val="20"/>
        </w:rPr>
        <w:t>2022</w:t>
      </w:r>
      <w:r w:rsidRPr="00CC00D4">
        <w:rPr>
          <w:rFonts w:ascii="Tahoma" w:hAnsi="Tahoma" w:cs="Tahoma"/>
          <w:bCs/>
          <w:kern w:val="0"/>
          <w:sz w:val="20"/>
          <w:szCs w:val="20"/>
        </w:rPr>
        <w:t xml:space="preserve"> le somme sono pari a:</w:t>
      </w:r>
    </w:p>
    <w:p w14:paraId="5B7890FA" w14:textId="77777777" w:rsidR="002558B3" w:rsidRPr="00CC00D4" w:rsidRDefault="000804BF">
      <w:pPr>
        <w:pStyle w:val="Paragrafoelenco"/>
        <w:numPr>
          <w:ilvl w:val="0"/>
          <w:numId w:val="113"/>
        </w:numPr>
        <w:autoSpaceDN w:val="0"/>
        <w:ind w:left="709" w:hanging="357"/>
        <w:contextualSpacing/>
        <w:textAlignment w:val="baseline"/>
        <w:rPr>
          <w:rFonts w:cs="Tahoma"/>
          <w:szCs w:val="20"/>
        </w:rPr>
      </w:pPr>
      <w:r w:rsidRPr="00CC00D4">
        <w:rPr>
          <w:rFonts w:cs="Tahoma"/>
          <w:szCs w:val="20"/>
        </w:rPr>
        <w:t>23,02</w:t>
      </w:r>
      <w:r w:rsidR="002558B3" w:rsidRPr="00CC00D4">
        <w:rPr>
          <w:rFonts w:cs="Tahoma"/>
          <w:szCs w:val="20"/>
        </w:rPr>
        <w:t xml:space="preserve"> euro sei nei dodici mesi precedenti risultano accreditate fino a quattro mensilità di contributi;</w:t>
      </w:r>
    </w:p>
    <w:p w14:paraId="3B5EAA7A" w14:textId="77777777" w:rsidR="002558B3" w:rsidRPr="00CC00D4" w:rsidRDefault="000804BF">
      <w:pPr>
        <w:pStyle w:val="Paragrafoelenco"/>
        <w:numPr>
          <w:ilvl w:val="0"/>
          <w:numId w:val="113"/>
        </w:numPr>
        <w:autoSpaceDN w:val="0"/>
        <w:ind w:left="709" w:hanging="357"/>
        <w:contextualSpacing/>
        <w:textAlignment w:val="baseline"/>
        <w:rPr>
          <w:rFonts w:cs="Tahoma"/>
          <w:szCs w:val="20"/>
        </w:rPr>
      </w:pPr>
      <w:r w:rsidRPr="00CC00D4">
        <w:rPr>
          <w:rFonts w:cs="Tahoma"/>
          <w:szCs w:val="20"/>
        </w:rPr>
        <w:t>34,53</w:t>
      </w:r>
      <w:r w:rsidR="002558B3" w:rsidRPr="00CC00D4">
        <w:rPr>
          <w:rFonts w:cs="Tahoma"/>
          <w:szCs w:val="20"/>
        </w:rPr>
        <w:t xml:space="preserve"> euro se nei dodici mesi precedenti sono state accreditate da cinque a otto mesi di contributi;</w:t>
      </w:r>
    </w:p>
    <w:p w14:paraId="39BED420" w14:textId="77777777" w:rsidR="002558B3" w:rsidRPr="00CC00D4" w:rsidRDefault="000804BF">
      <w:pPr>
        <w:pStyle w:val="Paragrafoelenco"/>
        <w:numPr>
          <w:ilvl w:val="0"/>
          <w:numId w:val="113"/>
        </w:numPr>
        <w:autoSpaceDN w:val="0"/>
        <w:ind w:left="709"/>
        <w:textAlignment w:val="baseline"/>
        <w:rPr>
          <w:rFonts w:cs="Tahoma"/>
          <w:szCs w:val="20"/>
        </w:rPr>
      </w:pPr>
      <w:r w:rsidRPr="00CC00D4">
        <w:rPr>
          <w:rFonts w:cs="Tahoma"/>
          <w:szCs w:val="20"/>
        </w:rPr>
        <w:t>46,03</w:t>
      </w:r>
      <w:r w:rsidR="002558B3" w:rsidRPr="00CC00D4">
        <w:rPr>
          <w:rFonts w:cs="Tahoma"/>
          <w:szCs w:val="20"/>
        </w:rPr>
        <w:t xml:space="preserve"> euro se nei dodici mesi precedenti sono state accreditate da nove a dodici mensilità di contributi.</w:t>
      </w:r>
    </w:p>
    <w:p w14:paraId="68DCA63D" w14:textId="77777777" w:rsidR="002558B3" w:rsidRPr="00CC00D4" w:rsidRDefault="002558B3" w:rsidP="002558B3">
      <w:pPr>
        <w:pStyle w:val="Standard"/>
        <w:spacing w:after="200" w:line="360" w:lineRule="auto"/>
        <w:jc w:val="both"/>
        <w:rPr>
          <w:rFonts w:ascii="Tahoma" w:hAnsi="Tahoma" w:cs="Tahoma"/>
          <w:kern w:val="0"/>
          <w:sz w:val="20"/>
          <w:szCs w:val="20"/>
        </w:rPr>
      </w:pPr>
    </w:p>
    <w:p w14:paraId="73E27176" w14:textId="6E29C20E" w:rsidR="002558B3" w:rsidRPr="00CC00D4" w:rsidRDefault="002558B3" w:rsidP="009E4A78">
      <w:pPr>
        <w:pStyle w:val="Titolo3"/>
        <w:rPr>
          <w:u w:val="none"/>
        </w:rPr>
      </w:pPr>
      <w:bookmarkStart w:id="194" w:name="__RefHeading__4466_1479815270"/>
      <w:bookmarkStart w:id="195" w:name="_Toc92386499"/>
      <w:bookmarkStart w:id="196" w:name="_Toc124266268"/>
      <w:r w:rsidRPr="00CC00D4">
        <w:t>4.1.5 Certificazione di malattia</w:t>
      </w:r>
      <w:bookmarkEnd w:id="194"/>
      <w:bookmarkEnd w:id="195"/>
      <w:bookmarkEnd w:id="196"/>
    </w:p>
    <w:p w14:paraId="5127AD0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Alla stregua di quanto previsto per lavoratori dipendenti e collaboratori coordinati e continuativi, anche i lavoratori autonomi occasionali, al verificarsi dell’evento morboso, sono tenuti a recarsi d</w:t>
      </w:r>
      <w:r w:rsidR="00F32F1F" w:rsidRPr="00CC00D4">
        <w:rPr>
          <w:rFonts w:ascii="Tahoma" w:hAnsi="Tahoma" w:cs="Tahoma"/>
          <w:bCs/>
          <w:kern w:val="0"/>
          <w:sz w:val="20"/>
          <w:szCs w:val="20"/>
        </w:rPr>
        <w:t>a</w:t>
      </w:r>
      <w:r w:rsidRPr="00CC00D4">
        <w:rPr>
          <w:rFonts w:ascii="Tahoma" w:hAnsi="Tahoma" w:cs="Tahoma"/>
          <w:bCs/>
          <w:kern w:val="0"/>
          <w:sz w:val="20"/>
          <w:szCs w:val="20"/>
        </w:rPr>
        <w:t>l medico curante per:</w:t>
      </w:r>
    </w:p>
    <w:p w14:paraId="7A250A5A" w14:textId="77777777" w:rsidR="002558B3" w:rsidRPr="00CC00D4" w:rsidRDefault="002558B3">
      <w:pPr>
        <w:pStyle w:val="Paragrafoelenco"/>
        <w:numPr>
          <w:ilvl w:val="0"/>
          <w:numId w:val="114"/>
        </w:numPr>
        <w:autoSpaceDN w:val="0"/>
        <w:ind w:left="709" w:hanging="357"/>
        <w:contextualSpacing/>
        <w:textAlignment w:val="baseline"/>
        <w:rPr>
          <w:rFonts w:cs="Tahoma"/>
          <w:szCs w:val="20"/>
        </w:rPr>
      </w:pPr>
      <w:r w:rsidRPr="00CC00D4">
        <w:rPr>
          <w:rFonts w:cs="Tahoma"/>
          <w:bCs/>
          <w:szCs w:val="20"/>
        </w:rPr>
        <w:t>Il rilascio di una copia cartacea del certificato di malattia;</w:t>
      </w:r>
    </w:p>
    <w:p w14:paraId="7A0B1CB9" w14:textId="77777777" w:rsidR="002558B3" w:rsidRPr="00CC00D4" w:rsidRDefault="002558B3">
      <w:pPr>
        <w:pStyle w:val="Paragrafoelenco"/>
        <w:numPr>
          <w:ilvl w:val="0"/>
          <w:numId w:val="114"/>
        </w:numPr>
        <w:autoSpaceDN w:val="0"/>
        <w:ind w:left="709"/>
        <w:textAlignment w:val="baseline"/>
        <w:rPr>
          <w:rFonts w:cs="Tahoma"/>
          <w:szCs w:val="20"/>
        </w:rPr>
      </w:pPr>
      <w:r w:rsidRPr="00CC00D4">
        <w:rPr>
          <w:rFonts w:cs="Tahoma"/>
          <w:bCs/>
          <w:szCs w:val="20"/>
        </w:rPr>
        <w:t>L’invio telematico (da parte del medico) all’INPS del certificato di malattia.</w:t>
      </w:r>
    </w:p>
    <w:p w14:paraId="1759D32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Competenti all’invio telematico sono anche le strutture ospedaliere nei casi di rilascio dei certificati di ricovero e malattia.</w:t>
      </w:r>
    </w:p>
    <w:p w14:paraId="6C055E7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fine di gestire correttamente le ricadute / continuazioni, il documento a riprova della malattia (come ricordato dalla Circolare INPS numero 77) è necessario che venga trasmesso “</w:t>
      </w:r>
      <w:r w:rsidRPr="00CC00D4">
        <w:rPr>
          <w:rFonts w:ascii="Tahoma" w:hAnsi="Tahoma" w:cs="Tahoma"/>
          <w:bCs/>
          <w:i/>
          <w:iCs/>
          <w:kern w:val="0"/>
          <w:sz w:val="20"/>
          <w:szCs w:val="20"/>
        </w:rPr>
        <w:t>anche in caso di eventi di durata inferiore a quattro giorni</w:t>
      </w:r>
      <w:r w:rsidRPr="00CC00D4">
        <w:rPr>
          <w:rFonts w:ascii="Tahoma" w:hAnsi="Tahoma" w:cs="Tahoma"/>
          <w:bCs/>
          <w:kern w:val="0"/>
          <w:sz w:val="20"/>
          <w:szCs w:val="20"/>
        </w:rPr>
        <w:t>” per i quali non è riconosciuta l’indennità.</w:t>
      </w:r>
    </w:p>
    <w:p w14:paraId="250523D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trasmissione avvenuta, il certificato (con la sola prognosi) è a disposizione del committente, il quale potrà prenderne visione sul portale INPS.</w:t>
      </w:r>
    </w:p>
    <w:p w14:paraId="513DB73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caso di malfunzionamento informatico o comunque di impossibilità del medico nell’inviare il certificato all’INPS il lavoratore è tenuto, entro due giorni dal rilascio dello stesso a consegnare:</w:t>
      </w:r>
    </w:p>
    <w:p w14:paraId="47AAA254" w14:textId="77777777" w:rsidR="002558B3" w:rsidRPr="00CC00D4" w:rsidRDefault="002558B3">
      <w:pPr>
        <w:pStyle w:val="Paragrafoelenco"/>
        <w:numPr>
          <w:ilvl w:val="0"/>
          <w:numId w:val="115"/>
        </w:numPr>
        <w:autoSpaceDN w:val="0"/>
        <w:ind w:left="709" w:hanging="357"/>
        <w:contextualSpacing/>
        <w:textAlignment w:val="baseline"/>
        <w:rPr>
          <w:rFonts w:cs="Tahoma"/>
          <w:szCs w:val="20"/>
        </w:rPr>
      </w:pPr>
      <w:r w:rsidRPr="00CC00D4">
        <w:rPr>
          <w:rFonts w:cs="Tahoma"/>
          <w:bCs/>
          <w:szCs w:val="20"/>
        </w:rPr>
        <w:lastRenderedPageBreak/>
        <w:t>Una copia cartacea del certificato di malattia alla struttura INPS territorialmente competente;</w:t>
      </w:r>
    </w:p>
    <w:p w14:paraId="78225930" w14:textId="77777777" w:rsidR="002558B3" w:rsidRPr="00CC00D4" w:rsidRDefault="002558B3">
      <w:pPr>
        <w:pStyle w:val="Paragrafoelenco"/>
        <w:numPr>
          <w:ilvl w:val="0"/>
          <w:numId w:val="115"/>
        </w:numPr>
        <w:autoSpaceDN w:val="0"/>
        <w:ind w:left="709"/>
        <w:textAlignment w:val="baseline"/>
        <w:rPr>
          <w:rFonts w:cs="Tahoma"/>
          <w:szCs w:val="20"/>
        </w:rPr>
      </w:pPr>
      <w:r w:rsidRPr="00CC00D4">
        <w:rPr>
          <w:rFonts w:cs="Tahoma"/>
          <w:bCs/>
          <w:szCs w:val="20"/>
        </w:rPr>
        <w:t>L’attestato di malattia (cartaceo) al committente, privo della diagnosi.</w:t>
      </w:r>
    </w:p>
    <w:p w14:paraId="58C47D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Eventuali omissioni nell’invio della documentazione comportano la perdita dell’indennità, per ogni giorno di ritardo oltre il termine previsto.</w:t>
      </w:r>
    </w:p>
    <w:p w14:paraId="050103A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Un’eccezione è rappresentata dai certificati di ricovero (ma non di eventuali malattie post ricovero): per queste ipotesi la consegna può avvenire anche oltre i due giorni dalla data del rilascio, ma comunque entro il termine prescrizionale di un anno.</w:t>
      </w:r>
    </w:p>
    <w:p w14:paraId="12F6CF87"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184330E" w14:textId="6BB0540C" w:rsidR="002558B3" w:rsidRPr="00CC00D4" w:rsidRDefault="002558B3" w:rsidP="009E4A78">
      <w:pPr>
        <w:pStyle w:val="Titolo3"/>
        <w:rPr>
          <w:u w:val="none"/>
        </w:rPr>
      </w:pPr>
      <w:bookmarkStart w:id="197" w:name="__RefHeading__4468_1479815270"/>
      <w:bookmarkStart w:id="198" w:name="_Toc92386500"/>
      <w:bookmarkStart w:id="199" w:name="_Toc124266269"/>
      <w:r w:rsidRPr="00CC00D4">
        <w:t>4.1.6 Malattia all’estero</w:t>
      </w:r>
      <w:bookmarkEnd w:id="197"/>
      <w:bookmarkEnd w:id="198"/>
      <w:bookmarkEnd w:id="199"/>
    </w:p>
    <w:p w14:paraId="67A75EB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caso di malattia insorta in un paese dell’Unione Europea, si applica la legislazione dello stato in cui l’assicurato risiede. Di conseguenza, è fatto obbligo al lavoratore di trasmettere il certificato di malattia, entro due giorni dal rilascio, all’INPS ed al committente.</w:t>
      </w:r>
    </w:p>
    <w:p w14:paraId="1AE9D9B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alternativa ci si può rivolgere all’autorità locale per l’accertamento medico dell’incapacità al lavoro e la compilazione del certificato da trasmettere poi all’istituzione INPS competente.</w:t>
      </w:r>
    </w:p>
    <w:p w14:paraId="18521AA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 contrario, per le malattie insorte in paesi che non hanno stipulato con l’Italia convenzioni o accordi che regolano la materia ovvero in stati extra-UE, il certificato dev’essere legalizzato dalla rappresentanza diplomatica o consolare italiana all’estero e successivamente inoltrato alle sedi INPS competenti (anche dopo il rientro in Italia).</w:t>
      </w:r>
    </w:p>
    <w:p w14:paraId="20D50BA1"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È</w:t>
      </w:r>
      <w:r w:rsidR="002558B3" w:rsidRPr="00CC00D4">
        <w:rPr>
          <w:rFonts w:ascii="Tahoma" w:hAnsi="Tahoma" w:cs="Tahoma"/>
          <w:kern w:val="0"/>
          <w:sz w:val="20"/>
          <w:szCs w:val="20"/>
        </w:rPr>
        <w:t xml:space="preserve"> opportuno precisare che la “legalizzazione” non si limita alla firma del traduttore abilitato, essendo necessaria un’attestazione circa la validità del documento, ad esempio attraverso un timbro della rappresentanza italiana all’estero.</w:t>
      </w:r>
    </w:p>
    <w:p w14:paraId="282BD13E" w14:textId="77777777" w:rsidR="001105A9" w:rsidRPr="00CC00D4" w:rsidRDefault="001105A9" w:rsidP="00130676">
      <w:pPr>
        <w:pStyle w:val="Citazione"/>
      </w:pPr>
      <w:bookmarkStart w:id="200" w:name="__RefHeading__4470_1479815270"/>
      <w:bookmarkStart w:id="201" w:name="_Toc92386501"/>
    </w:p>
    <w:p w14:paraId="34070261" w14:textId="61638A9C" w:rsidR="002558B3" w:rsidRPr="00CC00D4" w:rsidRDefault="002558B3" w:rsidP="009E4A78">
      <w:pPr>
        <w:pStyle w:val="Titolo3"/>
      </w:pPr>
      <w:bookmarkStart w:id="202" w:name="_Toc124266270"/>
      <w:r w:rsidRPr="00CC00D4">
        <w:t>4.1.7 Domanda telematica</w:t>
      </w:r>
      <w:bookmarkEnd w:id="200"/>
      <w:bookmarkEnd w:id="201"/>
      <w:bookmarkEnd w:id="202"/>
    </w:p>
    <w:p w14:paraId="0BF3085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L’invio del certificato di malattia all’INPS non esonera il lavoratore a presentare apposita domanda di indennità all’Istituto:</w:t>
      </w:r>
    </w:p>
    <w:p w14:paraId="05931DC4" w14:textId="77777777" w:rsidR="002558B3" w:rsidRPr="00CC00D4" w:rsidRDefault="002558B3">
      <w:pPr>
        <w:pStyle w:val="Paragrafoelenco"/>
        <w:numPr>
          <w:ilvl w:val="0"/>
          <w:numId w:val="203"/>
        </w:numPr>
        <w:autoSpaceDN w:val="0"/>
        <w:ind w:left="709" w:hanging="357"/>
        <w:contextualSpacing/>
        <w:textAlignment w:val="baseline"/>
        <w:rPr>
          <w:rFonts w:cs="Tahoma"/>
          <w:szCs w:val="20"/>
        </w:rPr>
      </w:pPr>
      <w:r w:rsidRPr="00CC00D4">
        <w:rPr>
          <w:rFonts w:cs="Tahoma"/>
          <w:szCs w:val="20"/>
        </w:rPr>
        <w:t>Entro il termine prescrizionale di un anno a decorrere dal giorno successivo la fine della malattia;</w:t>
      </w:r>
    </w:p>
    <w:p w14:paraId="77E991DC" w14:textId="77777777" w:rsidR="002558B3" w:rsidRPr="00CC00D4" w:rsidRDefault="002558B3">
      <w:pPr>
        <w:pStyle w:val="Paragrafoelenco"/>
        <w:numPr>
          <w:ilvl w:val="0"/>
          <w:numId w:val="203"/>
        </w:numPr>
        <w:autoSpaceDN w:val="0"/>
        <w:ind w:left="709"/>
        <w:textAlignment w:val="baseline"/>
        <w:rPr>
          <w:rFonts w:cs="Tahoma"/>
          <w:szCs w:val="20"/>
        </w:rPr>
      </w:pPr>
      <w:r w:rsidRPr="00CC00D4">
        <w:rPr>
          <w:rFonts w:cs="Tahoma"/>
          <w:szCs w:val="20"/>
        </w:rPr>
        <w:t>In via telematica attraverso il portale “</w:t>
      </w:r>
      <w:r w:rsidRPr="00CC00D4">
        <w:rPr>
          <w:rFonts w:cs="Tahoma"/>
          <w:i/>
          <w:iCs/>
          <w:szCs w:val="20"/>
        </w:rPr>
        <w:t>inps.it</w:t>
      </w:r>
      <w:r w:rsidRPr="00CC00D4">
        <w:rPr>
          <w:rFonts w:cs="Tahoma"/>
          <w:szCs w:val="20"/>
        </w:rPr>
        <w:t xml:space="preserve"> </w:t>
      </w:r>
      <w:r w:rsidRPr="00CC00D4">
        <w:rPr>
          <w:rFonts w:cs="Tahoma"/>
          <w:i/>
          <w:iCs/>
          <w:szCs w:val="20"/>
        </w:rPr>
        <w:t>– Prestazioni e Servizi – Prestazioni – Malattia e degenza ospedaliera per iscritti alla Gestione Separata</w:t>
      </w:r>
      <w:r w:rsidRPr="00CC00D4">
        <w:rPr>
          <w:rFonts w:cs="Tahoma"/>
          <w:szCs w:val="20"/>
        </w:rPr>
        <w:t>” per i soggetti in possesso delle credenziali SPID di livello 2, Carta di identità elettronica (CIE), Carta nazionale dei servizi (CNS).</w:t>
      </w:r>
    </w:p>
    <w:p w14:paraId="568DA4D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Alla domanda dev’essere inoltre allegata la documentazione a riprova della prestazione di lavoro autonomo occasionale (ad esempio uno o più contratti) oltre alle dichiarazioni fiscali (Certificazione unica e / o dichiarazione dei redditi).</w:t>
      </w:r>
    </w:p>
    <w:p w14:paraId="12F90EE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alternativa, la richiesta può essere trasmessa:</w:t>
      </w:r>
    </w:p>
    <w:p w14:paraId="77BD0B4E" w14:textId="77777777" w:rsidR="002558B3" w:rsidRPr="00CC00D4" w:rsidRDefault="002558B3">
      <w:pPr>
        <w:pStyle w:val="Paragrafoelenco"/>
        <w:numPr>
          <w:ilvl w:val="0"/>
          <w:numId w:val="116"/>
        </w:numPr>
        <w:autoSpaceDN w:val="0"/>
        <w:ind w:left="709" w:hanging="357"/>
        <w:contextualSpacing/>
        <w:textAlignment w:val="baseline"/>
        <w:rPr>
          <w:rFonts w:cs="Tahoma"/>
          <w:szCs w:val="20"/>
        </w:rPr>
      </w:pPr>
      <w:r w:rsidRPr="00CC00D4">
        <w:rPr>
          <w:rFonts w:cs="Tahoma"/>
          <w:szCs w:val="20"/>
        </w:rPr>
        <w:t>Tramite il Contact center dell’Istituto raggiungibile al numero 803.164 (da rete fissa) ovvero 06.164.164 (da rete mobile);</w:t>
      </w:r>
    </w:p>
    <w:p w14:paraId="2A679E4E" w14:textId="77777777" w:rsidR="002558B3" w:rsidRPr="00CC00D4" w:rsidRDefault="002558B3">
      <w:pPr>
        <w:pStyle w:val="Paragrafoelenco"/>
        <w:numPr>
          <w:ilvl w:val="0"/>
          <w:numId w:val="116"/>
        </w:numPr>
        <w:autoSpaceDN w:val="0"/>
        <w:ind w:left="709"/>
        <w:textAlignment w:val="baseline"/>
        <w:rPr>
          <w:rFonts w:cs="Tahoma"/>
          <w:szCs w:val="20"/>
        </w:rPr>
      </w:pPr>
      <w:r w:rsidRPr="00CC00D4">
        <w:rPr>
          <w:rFonts w:cs="Tahoma"/>
          <w:szCs w:val="20"/>
        </w:rPr>
        <w:t>Rivolgendosi a patronati ed intermediari INPS.</w:t>
      </w:r>
    </w:p>
    <w:p w14:paraId="6430F09F" w14:textId="77777777" w:rsidR="002558B3" w:rsidRPr="00CC00D4" w:rsidRDefault="002558B3" w:rsidP="002558B3">
      <w:pPr>
        <w:pStyle w:val="Standard"/>
        <w:spacing w:after="200" w:line="360" w:lineRule="auto"/>
        <w:jc w:val="both"/>
        <w:rPr>
          <w:rFonts w:ascii="Tahoma" w:hAnsi="Tahoma" w:cs="Tahoma"/>
          <w:kern w:val="0"/>
          <w:sz w:val="20"/>
          <w:szCs w:val="20"/>
        </w:rPr>
      </w:pPr>
    </w:p>
    <w:p w14:paraId="448BFF3E" w14:textId="3BB0DC86" w:rsidR="002558B3" w:rsidRPr="00CC00D4" w:rsidRDefault="002558B3" w:rsidP="009E4A78">
      <w:pPr>
        <w:pStyle w:val="Titolo3"/>
      </w:pPr>
      <w:bookmarkStart w:id="203" w:name="__RefHeading__4472_1479815270"/>
      <w:bookmarkStart w:id="204" w:name="_Toc92386502"/>
      <w:bookmarkStart w:id="205" w:name="_Toc124266271"/>
      <w:r w:rsidRPr="00CC00D4">
        <w:t>4.1.8 Reperibilità</w:t>
      </w:r>
      <w:bookmarkEnd w:id="203"/>
      <w:bookmarkEnd w:id="204"/>
      <w:bookmarkEnd w:id="205"/>
    </w:p>
    <w:p w14:paraId="49CBD48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Oltre all’invio del certificato medico ed alla domanda di indennità inoltrata all’INPS, l’interessato deve rendersi reperibile durante le fasce orarie previste dalla legge, in modo da consentire i controlli dell’INPS sull’effettiva temporanea incapacità lavorativa.</w:t>
      </w:r>
    </w:p>
    <w:p w14:paraId="2BA5F5B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fasce di reperibilità interessano tutti i giorni indicati nella certificazione di malattia, compresi sabati, domeniche e festivi dalle 10 alle 12 e dalle 17 alle 19. Le stesse non si applicano in caso di assenza per:</w:t>
      </w:r>
    </w:p>
    <w:p w14:paraId="18CF8AA7" w14:textId="77777777" w:rsidR="002558B3" w:rsidRPr="00CC00D4" w:rsidRDefault="002558B3">
      <w:pPr>
        <w:pStyle w:val="Paragrafoelenco"/>
        <w:numPr>
          <w:ilvl w:val="0"/>
          <w:numId w:val="117"/>
        </w:numPr>
        <w:autoSpaceDN w:val="0"/>
        <w:ind w:left="709" w:hanging="357"/>
        <w:contextualSpacing/>
        <w:textAlignment w:val="baseline"/>
        <w:rPr>
          <w:rFonts w:cs="Tahoma"/>
          <w:szCs w:val="20"/>
        </w:rPr>
      </w:pPr>
      <w:r w:rsidRPr="00CC00D4">
        <w:rPr>
          <w:rFonts w:cs="Tahoma"/>
          <w:szCs w:val="20"/>
        </w:rPr>
        <w:t>Patologie gravi che richiedono terapie salvavita, comprovate da idonea documentazione sanitaria;</w:t>
      </w:r>
    </w:p>
    <w:p w14:paraId="6D06EC1A" w14:textId="77777777" w:rsidR="002558B3" w:rsidRPr="00CC00D4" w:rsidRDefault="002558B3">
      <w:pPr>
        <w:pStyle w:val="Paragrafoelenco"/>
        <w:numPr>
          <w:ilvl w:val="0"/>
          <w:numId w:val="117"/>
        </w:numPr>
        <w:autoSpaceDN w:val="0"/>
        <w:ind w:left="709"/>
        <w:textAlignment w:val="baseline"/>
        <w:rPr>
          <w:rFonts w:cs="Tahoma"/>
          <w:szCs w:val="20"/>
        </w:rPr>
      </w:pPr>
      <w:r w:rsidRPr="00CC00D4">
        <w:rPr>
          <w:rFonts w:cs="Tahoma"/>
          <w:szCs w:val="20"/>
        </w:rPr>
        <w:t>Stati patologici sottesi o connessi alla situazione di invalidità riconosciuta che ha determinato una riduzione della capacità lavorativa in misura pari o superiore al 67%.</w:t>
      </w:r>
    </w:p>
    <w:p w14:paraId="3D9C8D9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L’INPS può comunque effettuare controlli sulla correttezza della certificazione, eventualmente dietro segnalazione dell’azienda.</w:t>
      </w:r>
    </w:p>
    <w:p w14:paraId="39EFD1B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È opportuno precisare che per:</w:t>
      </w:r>
    </w:p>
    <w:p w14:paraId="404D0B62" w14:textId="77777777" w:rsidR="002558B3" w:rsidRPr="00CC00D4" w:rsidRDefault="002558B3">
      <w:pPr>
        <w:pStyle w:val="Paragrafoelenco"/>
        <w:numPr>
          <w:ilvl w:val="0"/>
          <w:numId w:val="118"/>
        </w:numPr>
        <w:autoSpaceDN w:val="0"/>
        <w:ind w:left="709" w:hanging="357"/>
        <w:contextualSpacing/>
        <w:textAlignment w:val="baseline"/>
        <w:rPr>
          <w:rFonts w:cs="Tahoma"/>
          <w:szCs w:val="20"/>
        </w:rPr>
      </w:pPr>
      <w:r w:rsidRPr="00CC00D4">
        <w:rPr>
          <w:rFonts w:cs="Tahoma"/>
          <w:szCs w:val="20"/>
        </w:rPr>
        <w:t>“Grave patologia” si intende uno stato morboso straordinario, isolato o compreso in un decorso cronico;</w:t>
      </w:r>
    </w:p>
    <w:p w14:paraId="66BA8764" w14:textId="77777777" w:rsidR="002558B3" w:rsidRPr="00CC00D4" w:rsidRDefault="002558B3">
      <w:pPr>
        <w:pStyle w:val="Paragrafoelenco"/>
        <w:numPr>
          <w:ilvl w:val="0"/>
          <w:numId w:val="118"/>
        </w:numPr>
        <w:autoSpaceDN w:val="0"/>
        <w:ind w:left="709"/>
        <w:textAlignment w:val="baseline"/>
        <w:rPr>
          <w:rFonts w:cs="Tahoma"/>
          <w:szCs w:val="20"/>
        </w:rPr>
      </w:pPr>
      <w:r w:rsidRPr="00CC00D4">
        <w:rPr>
          <w:rFonts w:cs="Tahoma"/>
          <w:szCs w:val="20"/>
        </w:rPr>
        <w:t>Nel concetto di “terapie salvavita” rientrano le cure indispensabili a tenere in vita una persona, indipendenti dalla tipologia di farmaco utilizzato.</w:t>
      </w:r>
    </w:p>
    <w:p w14:paraId="1CE8EA89"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E7A5021" w14:textId="1BD5D6B4" w:rsidR="002558B3" w:rsidRPr="00CC00D4" w:rsidRDefault="002558B3" w:rsidP="009E4A78">
      <w:pPr>
        <w:pStyle w:val="Titolo3"/>
      </w:pPr>
      <w:bookmarkStart w:id="206" w:name="__RefHeading__4474_1479815270"/>
      <w:bookmarkStart w:id="207" w:name="_Toc92386503"/>
      <w:bookmarkStart w:id="208" w:name="_Toc124266272"/>
      <w:r w:rsidRPr="00CC00D4">
        <w:t>4.1.9 Indirizzo di reperibilità</w:t>
      </w:r>
      <w:bookmarkEnd w:id="206"/>
      <w:bookmarkEnd w:id="207"/>
      <w:bookmarkEnd w:id="208"/>
    </w:p>
    <w:p w14:paraId="2560CAF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Particolare attenzione dev’essere posta in sede di rilascio del certificato medico e di invio dello stesso all’INPS. Nel documento è riportato infatti l’indirizzo di reperibilità utile per consentire le verifiche di controllo.</w:t>
      </w:r>
    </w:p>
    <w:p w14:paraId="0D5762C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 xml:space="preserve">Una volta trasmesso il certificato, è possibile modificare l’indirizzo:  </w:t>
      </w:r>
    </w:p>
    <w:p w14:paraId="6C7598ED" w14:textId="77777777" w:rsidR="002558B3" w:rsidRPr="00CC00D4" w:rsidRDefault="002558B3">
      <w:pPr>
        <w:pStyle w:val="Paragrafoelenco"/>
        <w:numPr>
          <w:ilvl w:val="0"/>
          <w:numId w:val="119"/>
        </w:numPr>
        <w:autoSpaceDN w:val="0"/>
        <w:ind w:left="709" w:hanging="357"/>
        <w:contextualSpacing/>
        <w:textAlignment w:val="baseline"/>
        <w:rPr>
          <w:rFonts w:cs="Tahoma"/>
          <w:szCs w:val="20"/>
        </w:rPr>
      </w:pPr>
      <w:r w:rsidRPr="00CC00D4">
        <w:rPr>
          <w:rFonts w:cs="Tahoma"/>
          <w:szCs w:val="20"/>
        </w:rPr>
        <w:t>Comunicando tempestivamente il nuovo recapito al committente, con le modalità previste nel contratto;</w:t>
      </w:r>
    </w:p>
    <w:p w14:paraId="7678A91E" w14:textId="77777777" w:rsidR="002558B3" w:rsidRPr="00CC00D4" w:rsidRDefault="002558B3">
      <w:pPr>
        <w:pStyle w:val="Paragrafoelenco"/>
        <w:numPr>
          <w:ilvl w:val="0"/>
          <w:numId w:val="119"/>
        </w:numPr>
        <w:autoSpaceDN w:val="0"/>
        <w:ind w:left="709"/>
        <w:textAlignment w:val="baseline"/>
        <w:rPr>
          <w:rFonts w:cs="Tahoma"/>
          <w:szCs w:val="20"/>
        </w:rPr>
      </w:pPr>
      <w:r w:rsidRPr="00CC00D4">
        <w:rPr>
          <w:rFonts w:cs="Tahoma"/>
          <w:szCs w:val="20"/>
        </w:rPr>
        <w:t>Inoltrando apposita segnalazione all’INPS utilizzando il servizio disponibile sul portale dell’Istituto, Sezione "</w:t>
      </w:r>
      <w:r w:rsidRPr="00CC00D4">
        <w:rPr>
          <w:rFonts w:cs="Tahoma"/>
          <w:i/>
          <w:iCs/>
          <w:szCs w:val="20"/>
        </w:rPr>
        <w:t>Servizi Online - Sportello al cittadino per le VMC</w:t>
      </w:r>
      <w:r w:rsidRPr="00CC00D4">
        <w:rPr>
          <w:rFonts w:cs="Tahoma"/>
          <w:szCs w:val="20"/>
        </w:rPr>
        <w:t>".</w:t>
      </w:r>
    </w:p>
    <w:p w14:paraId="0DFCC8D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Eccezionalmente, in caso di malfunzionamento del portale telematico, la variazione di indirizzo può essere comunicata con una delle seguenti modalità:</w:t>
      </w:r>
    </w:p>
    <w:p w14:paraId="35B13A45" w14:textId="77777777" w:rsidR="002558B3" w:rsidRPr="00CC00D4" w:rsidRDefault="002558B3">
      <w:pPr>
        <w:pStyle w:val="Paragrafoelenco"/>
        <w:numPr>
          <w:ilvl w:val="0"/>
          <w:numId w:val="120"/>
        </w:numPr>
        <w:autoSpaceDN w:val="0"/>
        <w:ind w:left="709" w:hanging="357"/>
        <w:contextualSpacing/>
        <w:textAlignment w:val="baseline"/>
        <w:rPr>
          <w:rFonts w:cs="Tahoma"/>
          <w:szCs w:val="20"/>
        </w:rPr>
      </w:pPr>
      <w:r w:rsidRPr="00CC00D4">
        <w:rPr>
          <w:rFonts w:cs="Tahoma"/>
          <w:szCs w:val="20"/>
        </w:rPr>
        <w:t>Mail alla casella “</w:t>
      </w:r>
      <w:r w:rsidRPr="00CC00D4">
        <w:rPr>
          <w:rFonts w:cs="Tahoma"/>
          <w:i/>
          <w:iCs/>
          <w:szCs w:val="20"/>
        </w:rPr>
        <w:t>medicolegale.nomesede@inps.it</w:t>
      </w:r>
      <w:r w:rsidRPr="00CC00D4">
        <w:rPr>
          <w:rFonts w:cs="Tahoma"/>
          <w:szCs w:val="20"/>
        </w:rPr>
        <w:t>”;</w:t>
      </w:r>
    </w:p>
    <w:p w14:paraId="6B1526F4" w14:textId="77777777" w:rsidR="002558B3" w:rsidRPr="00CC00D4" w:rsidRDefault="002558B3">
      <w:pPr>
        <w:pStyle w:val="Paragrafoelenco"/>
        <w:numPr>
          <w:ilvl w:val="0"/>
          <w:numId w:val="120"/>
        </w:numPr>
        <w:autoSpaceDN w:val="0"/>
        <w:ind w:left="709" w:hanging="357"/>
        <w:contextualSpacing/>
        <w:textAlignment w:val="baseline"/>
        <w:rPr>
          <w:rFonts w:cs="Tahoma"/>
          <w:szCs w:val="20"/>
        </w:rPr>
      </w:pPr>
      <w:r w:rsidRPr="00CC00D4">
        <w:rPr>
          <w:rFonts w:cs="Tahoma"/>
          <w:szCs w:val="20"/>
        </w:rPr>
        <w:t>Comunicazione via fax alla struttura territoriale INPS;</w:t>
      </w:r>
    </w:p>
    <w:p w14:paraId="25846032" w14:textId="77777777" w:rsidR="002558B3" w:rsidRPr="00CC00D4" w:rsidRDefault="002558B3">
      <w:pPr>
        <w:pStyle w:val="Paragrafoelenco"/>
        <w:numPr>
          <w:ilvl w:val="0"/>
          <w:numId w:val="120"/>
        </w:numPr>
        <w:autoSpaceDN w:val="0"/>
        <w:ind w:left="709"/>
        <w:textAlignment w:val="baseline"/>
        <w:rPr>
          <w:rFonts w:cs="Tahoma"/>
          <w:szCs w:val="20"/>
        </w:rPr>
      </w:pPr>
      <w:r w:rsidRPr="00CC00D4">
        <w:rPr>
          <w:rFonts w:cs="Tahoma"/>
          <w:szCs w:val="20"/>
        </w:rPr>
        <w:t>Chiama</w:t>
      </w:r>
      <w:r w:rsidR="00F32F1F" w:rsidRPr="00CC00D4">
        <w:rPr>
          <w:rFonts w:cs="Tahoma"/>
          <w:szCs w:val="20"/>
        </w:rPr>
        <w:t>ndo</w:t>
      </w:r>
      <w:r w:rsidRPr="00CC00D4">
        <w:rPr>
          <w:rFonts w:cs="Tahoma"/>
          <w:szCs w:val="20"/>
        </w:rPr>
        <w:t xml:space="preserve"> il Contact center dell’Istituto.</w:t>
      </w:r>
    </w:p>
    <w:p w14:paraId="626B13E3"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40E6CE5F" w14:textId="6DD61C00" w:rsidR="002558B3" w:rsidRPr="00CC00D4" w:rsidRDefault="002558B3" w:rsidP="009E4A78">
      <w:pPr>
        <w:pStyle w:val="Titolo3"/>
      </w:pPr>
      <w:bookmarkStart w:id="209" w:name="__RefHeading__4476_1479815270"/>
      <w:bookmarkStart w:id="210" w:name="_Toc92386504"/>
      <w:bookmarkStart w:id="211" w:name="_Toc124266273"/>
      <w:r w:rsidRPr="00CC00D4">
        <w:t>4.1.10 Assenze alle visite di controllo</w:t>
      </w:r>
      <w:bookmarkEnd w:id="209"/>
      <w:bookmarkEnd w:id="210"/>
      <w:bookmarkEnd w:id="211"/>
    </w:p>
    <w:p w14:paraId="7187E35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conseguenze in caso di assenza ingiustificata alle visite di controllo sono le stesse previste per i lavoratori dipendenti.</w:t>
      </w:r>
    </w:p>
    <w:p w14:paraId="052A19E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particolare:</w:t>
      </w:r>
    </w:p>
    <w:p w14:paraId="3B2FEECF" w14:textId="77777777" w:rsidR="002558B3" w:rsidRPr="00CC00D4" w:rsidRDefault="002558B3">
      <w:pPr>
        <w:pStyle w:val="Paragrafoelenco"/>
        <w:numPr>
          <w:ilvl w:val="0"/>
          <w:numId w:val="121"/>
        </w:numPr>
        <w:autoSpaceDN w:val="0"/>
        <w:ind w:left="709" w:hanging="357"/>
        <w:contextualSpacing/>
        <w:textAlignment w:val="baseline"/>
        <w:rPr>
          <w:rFonts w:cs="Tahoma"/>
          <w:szCs w:val="20"/>
        </w:rPr>
      </w:pPr>
      <w:r w:rsidRPr="00CC00D4">
        <w:rPr>
          <w:rFonts w:cs="Tahoma"/>
          <w:bCs/>
          <w:szCs w:val="20"/>
        </w:rPr>
        <w:t>Prima assenza ingiustificata alla visita di controllo, mancato indennizzo della malattia per un massimo di dieci giorni;</w:t>
      </w:r>
    </w:p>
    <w:p w14:paraId="38E950C5" w14:textId="77777777" w:rsidR="002558B3" w:rsidRPr="00CC00D4" w:rsidRDefault="002558B3">
      <w:pPr>
        <w:pStyle w:val="Paragrafoelenco"/>
        <w:numPr>
          <w:ilvl w:val="0"/>
          <w:numId w:val="121"/>
        </w:numPr>
        <w:autoSpaceDN w:val="0"/>
        <w:ind w:left="709" w:hanging="357"/>
        <w:contextualSpacing/>
        <w:textAlignment w:val="baseline"/>
        <w:rPr>
          <w:rFonts w:cs="Tahoma"/>
          <w:szCs w:val="20"/>
        </w:rPr>
      </w:pPr>
      <w:r w:rsidRPr="00CC00D4">
        <w:rPr>
          <w:rFonts w:cs="Tahoma"/>
          <w:bCs/>
          <w:szCs w:val="20"/>
        </w:rPr>
        <w:t>Seconda assenza ingiustificata alla visita di controllo (ambulatoriale o domiciliare) riduzione del 50% del trattamento economico per il periodo residuo;</w:t>
      </w:r>
    </w:p>
    <w:p w14:paraId="69CC59AD" w14:textId="77777777" w:rsidR="002558B3" w:rsidRPr="00CC00D4" w:rsidRDefault="002558B3">
      <w:pPr>
        <w:pStyle w:val="Paragrafoelenco"/>
        <w:numPr>
          <w:ilvl w:val="0"/>
          <w:numId w:val="121"/>
        </w:numPr>
        <w:autoSpaceDN w:val="0"/>
        <w:ind w:left="709"/>
        <w:textAlignment w:val="baseline"/>
        <w:rPr>
          <w:rFonts w:cs="Tahoma"/>
          <w:szCs w:val="20"/>
        </w:rPr>
      </w:pPr>
      <w:r w:rsidRPr="00CC00D4">
        <w:rPr>
          <w:rFonts w:cs="Tahoma"/>
          <w:bCs/>
          <w:szCs w:val="20"/>
        </w:rPr>
        <w:t>Terza assenza ingiustificata, interruzione dell’erogazione dell’indennità INPS sino al termine del periodo di malattia.</w:t>
      </w:r>
    </w:p>
    <w:p w14:paraId="5F991FF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Nelle ipotesi di assenza alla visita domiciliare il personale medico:</w:t>
      </w:r>
    </w:p>
    <w:p w14:paraId="106BD93E" w14:textId="77777777" w:rsidR="002558B3" w:rsidRPr="00CC00D4" w:rsidRDefault="002558B3">
      <w:pPr>
        <w:pStyle w:val="Paragrafoelenco"/>
        <w:numPr>
          <w:ilvl w:val="0"/>
          <w:numId w:val="122"/>
        </w:numPr>
        <w:autoSpaceDN w:val="0"/>
        <w:ind w:left="709" w:hanging="357"/>
        <w:contextualSpacing/>
        <w:textAlignment w:val="baseline"/>
        <w:rPr>
          <w:rFonts w:cs="Tahoma"/>
          <w:szCs w:val="20"/>
        </w:rPr>
      </w:pPr>
      <w:r w:rsidRPr="00CC00D4">
        <w:rPr>
          <w:rFonts w:cs="Tahoma"/>
          <w:bCs/>
          <w:szCs w:val="20"/>
        </w:rPr>
        <w:t>Rilascia un invito in busta chiusa per la successiva visita medica di controllo ambulatoriale;</w:t>
      </w:r>
    </w:p>
    <w:p w14:paraId="1479CDD5" w14:textId="77777777" w:rsidR="002558B3" w:rsidRPr="00CC00D4" w:rsidRDefault="002558B3">
      <w:pPr>
        <w:pStyle w:val="Paragrafoelenco"/>
        <w:numPr>
          <w:ilvl w:val="0"/>
          <w:numId w:val="122"/>
        </w:numPr>
        <w:autoSpaceDN w:val="0"/>
        <w:ind w:left="709"/>
        <w:textAlignment w:val="baseline"/>
        <w:rPr>
          <w:rFonts w:cs="Tahoma"/>
          <w:szCs w:val="20"/>
        </w:rPr>
      </w:pPr>
      <w:r w:rsidRPr="00CC00D4">
        <w:rPr>
          <w:rFonts w:cs="Tahoma"/>
          <w:szCs w:val="20"/>
        </w:rPr>
        <w:t>Comunica l’assenza del lavoratore all’INPS che, a sua volta, lo segnala al committente.</w:t>
      </w:r>
    </w:p>
    <w:p w14:paraId="1FDA219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Se il lavoratore non si reca alla visita ambulatoriale, l’INPS ne dà comunicazione al datore di lavoro ed invita il lavoratore a fornire le proprie giustificazioni entro dieci giorni.</w:t>
      </w:r>
    </w:p>
    <w:p w14:paraId="0E47AD6C" w14:textId="77777777" w:rsidR="002558B3" w:rsidRPr="00CC00D4" w:rsidRDefault="002558B3" w:rsidP="002558B3">
      <w:pPr>
        <w:pStyle w:val="Standard"/>
        <w:spacing w:after="200" w:line="360" w:lineRule="auto"/>
        <w:jc w:val="both"/>
        <w:rPr>
          <w:rFonts w:ascii="Tahoma" w:hAnsi="Tahoma" w:cs="Tahoma"/>
          <w:kern w:val="0"/>
          <w:sz w:val="20"/>
          <w:szCs w:val="20"/>
        </w:rPr>
      </w:pPr>
    </w:p>
    <w:p w14:paraId="6ED4BC9B" w14:textId="0DB52359" w:rsidR="002558B3" w:rsidRPr="00CC00D4" w:rsidRDefault="00A722DB" w:rsidP="00F14C98">
      <w:pPr>
        <w:pStyle w:val="Titolo3"/>
      </w:pPr>
      <w:bookmarkStart w:id="212" w:name="__RefHeading__4478_1479815270"/>
      <w:bookmarkStart w:id="213" w:name="_Toc92386505"/>
      <w:r w:rsidRPr="00CC00D4">
        <w:br w:type="page"/>
      </w:r>
      <w:bookmarkStart w:id="214" w:name="_Toc124266274"/>
      <w:r w:rsidR="002558B3" w:rsidRPr="00CC00D4">
        <w:lastRenderedPageBreak/>
        <w:t>4.1.11 Assenze giustificate</w:t>
      </w:r>
      <w:bookmarkEnd w:id="212"/>
      <w:bookmarkEnd w:id="213"/>
      <w:bookmarkEnd w:id="214"/>
    </w:p>
    <w:p w14:paraId="7254853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sanzioni economiche non vengono comminate in caso di:</w:t>
      </w:r>
    </w:p>
    <w:p w14:paraId="2F88439D" w14:textId="77777777" w:rsidR="002558B3" w:rsidRPr="00CC00D4" w:rsidRDefault="002558B3">
      <w:pPr>
        <w:pStyle w:val="Paragrafoelenco"/>
        <w:numPr>
          <w:ilvl w:val="0"/>
          <w:numId w:val="123"/>
        </w:numPr>
        <w:autoSpaceDN w:val="0"/>
        <w:ind w:left="709" w:hanging="357"/>
        <w:contextualSpacing/>
        <w:textAlignment w:val="baseline"/>
        <w:rPr>
          <w:rFonts w:cs="Tahoma"/>
          <w:szCs w:val="20"/>
        </w:rPr>
      </w:pPr>
      <w:r w:rsidRPr="00CC00D4">
        <w:rPr>
          <w:rFonts w:cs="Tahoma"/>
          <w:bCs/>
          <w:szCs w:val="20"/>
        </w:rPr>
        <w:t>Ricovero ospedaliero;</w:t>
      </w:r>
    </w:p>
    <w:p w14:paraId="19969868" w14:textId="77777777" w:rsidR="002558B3" w:rsidRPr="00CC00D4" w:rsidRDefault="002558B3">
      <w:pPr>
        <w:pStyle w:val="Paragrafoelenco"/>
        <w:numPr>
          <w:ilvl w:val="0"/>
          <w:numId w:val="123"/>
        </w:numPr>
        <w:autoSpaceDN w:val="0"/>
        <w:ind w:left="709" w:hanging="357"/>
        <w:contextualSpacing/>
        <w:textAlignment w:val="baseline"/>
        <w:rPr>
          <w:rFonts w:cs="Tahoma"/>
          <w:szCs w:val="20"/>
        </w:rPr>
      </w:pPr>
      <w:r w:rsidRPr="00CC00D4">
        <w:rPr>
          <w:rFonts w:cs="Tahoma"/>
          <w:bCs/>
          <w:szCs w:val="20"/>
        </w:rPr>
        <w:t>Periodi già oggetto di precedente visita di controllo;</w:t>
      </w:r>
    </w:p>
    <w:p w14:paraId="4161945D" w14:textId="77777777" w:rsidR="002558B3" w:rsidRPr="00CC00D4" w:rsidRDefault="002558B3">
      <w:pPr>
        <w:pStyle w:val="Paragrafoelenco"/>
        <w:numPr>
          <w:ilvl w:val="0"/>
          <w:numId w:val="123"/>
        </w:numPr>
        <w:autoSpaceDN w:val="0"/>
        <w:ind w:left="709"/>
        <w:textAlignment w:val="baseline"/>
        <w:rPr>
          <w:rFonts w:cs="Tahoma"/>
          <w:szCs w:val="20"/>
        </w:rPr>
      </w:pPr>
      <w:r w:rsidRPr="00CC00D4">
        <w:rPr>
          <w:rFonts w:cs="Tahoma"/>
          <w:bCs/>
          <w:szCs w:val="20"/>
        </w:rPr>
        <w:t>Assenza dovuta a giustificato motivo.</w:t>
      </w:r>
    </w:p>
    <w:p w14:paraId="578591A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merito al “giustificato motivo”, questo ricorre nelle ipotesi di:</w:t>
      </w:r>
    </w:p>
    <w:p w14:paraId="3A323DD0" w14:textId="77777777" w:rsidR="002558B3" w:rsidRPr="00CC00D4" w:rsidRDefault="002558B3">
      <w:pPr>
        <w:pStyle w:val="Paragrafoelenco"/>
        <w:numPr>
          <w:ilvl w:val="0"/>
          <w:numId w:val="124"/>
        </w:numPr>
        <w:autoSpaceDN w:val="0"/>
        <w:ind w:left="709" w:hanging="357"/>
        <w:contextualSpacing/>
        <w:textAlignment w:val="baseline"/>
        <w:rPr>
          <w:rFonts w:cs="Tahoma"/>
          <w:szCs w:val="20"/>
        </w:rPr>
      </w:pPr>
      <w:r w:rsidRPr="00CC00D4">
        <w:rPr>
          <w:rFonts w:cs="Tahoma"/>
          <w:bCs/>
          <w:szCs w:val="20"/>
        </w:rPr>
        <w:t>Forza maggiore;</w:t>
      </w:r>
    </w:p>
    <w:p w14:paraId="347A3598" w14:textId="77777777" w:rsidR="002558B3" w:rsidRPr="00CC00D4" w:rsidRDefault="002558B3">
      <w:pPr>
        <w:pStyle w:val="Paragrafoelenco"/>
        <w:numPr>
          <w:ilvl w:val="0"/>
          <w:numId w:val="124"/>
        </w:numPr>
        <w:autoSpaceDN w:val="0"/>
        <w:ind w:left="709" w:hanging="357"/>
        <w:contextualSpacing/>
        <w:textAlignment w:val="baseline"/>
        <w:rPr>
          <w:rFonts w:cs="Tahoma"/>
          <w:szCs w:val="20"/>
        </w:rPr>
      </w:pPr>
      <w:r w:rsidRPr="00CC00D4">
        <w:rPr>
          <w:rFonts w:cs="Tahoma"/>
          <w:bCs/>
          <w:szCs w:val="20"/>
        </w:rPr>
        <w:t>Situazioni che abbiano reso imprescindibile ed indifferibile la presenza altrove del lavoratore;</w:t>
      </w:r>
    </w:p>
    <w:p w14:paraId="4F66EAAD" w14:textId="77777777" w:rsidR="002558B3" w:rsidRPr="00CC00D4" w:rsidRDefault="002558B3">
      <w:pPr>
        <w:pStyle w:val="Paragrafoelenco"/>
        <w:numPr>
          <w:ilvl w:val="0"/>
          <w:numId w:val="124"/>
        </w:numPr>
        <w:autoSpaceDN w:val="0"/>
        <w:ind w:left="709"/>
        <w:textAlignment w:val="baseline"/>
        <w:rPr>
          <w:rFonts w:cs="Tahoma"/>
          <w:szCs w:val="20"/>
        </w:rPr>
      </w:pPr>
      <w:r w:rsidRPr="00CC00D4">
        <w:rPr>
          <w:rFonts w:cs="Tahoma"/>
          <w:bCs/>
          <w:szCs w:val="20"/>
        </w:rPr>
        <w:t>Concomitanza di visite, prestazioni e accertamenti specialistici a patto che si dimostri che le stesse non potevano essere effettuate in orari diversi dalle fasce di reperibilità.</w:t>
      </w:r>
    </w:p>
    <w:p w14:paraId="3A45BC4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generale, secondo quanto affermato dalla giurisprudenza di Cassazione (sentenza 23 maggio 2016 numero 10661) il giustificato motivo ricorre in ogni seria e fondata circostanza che rende plausibile l’allontanamento del lavoratore dal proprio domicilio. Questo non si identifica esclusivamente nello stato di necessità o di forza maggiore, ma può essere rappresentato da una serie e valida ragione socialmente apprezzabile.</w:t>
      </w:r>
    </w:p>
    <w:p w14:paraId="2053AF1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giurisprudenza ha ritenuto esempi di assenza giustificata:</w:t>
      </w:r>
    </w:p>
    <w:p w14:paraId="45706536" w14:textId="77777777" w:rsidR="002558B3" w:rsidRPr="00CC00D4" w:rsidRDefault="002558B3">
      <w:pPr>
        <w:pStyle w:val="Paragrafoelenco"/>
        <w:numPr>
          <w:ilvl w:val="0"/>
          <w:numId w:val="125"/>
        </w:numPr>
        <w:autoSpaceDN w:val="0"/>
        <w:ind w:left="709" w:hanging="357"/>
        <w:contextualSpacing/>
        <w:textAlignment w:val="baseline"/>
        <w:rPr>
          <w:rFonts w:cs="Tahoma"/>
          <w:szCs w:val="20"/>
        </w:rPr>
      </w:pPr>
      <w:r w:rsidRPr="00CC00D4">
        <w:rPr>
          <w:rFonts w:cs="Tahoma"/>
          <w:bCs/>
          <w:szCs w:val="20"/>
        </w:rPr>
        <w:t>Ritiro presso gli Uffici sanitari di radiografie collegate alla malattia in atto (Tribunale Milano 16 gennaio 1988);</w:t>
      </w:r>
    </w:p>
    <w:p w14:paraId="03E7A562" w14:textId="77777777" w:rsidR="002558B3" w:rsidRPr="00CC00D4" w:rsidRDefault="002558B3">
      <w:pPr>
        <w:pStyle w:val="Paragrafoelenco"/>
        <w:numPr>
          <w:ilvl w:val="0"/>
          <w:numId w:val="125"/>
        </w:numPr>
        <w:autoSpaceDN w:val="0"/>
        <w:ind w:left="709" w:hanging="357"/>
        <w:contextualSpacing/>
        <w:textAlignment w:val="baseline"/>
        <w:rPr>
          <w:rFonts w:cs="Tahoma"/>
          <w:szCs w:val="20"/>
        </w:rPr>
      </w:pPr>
      <w:r w:rsidRPr="00CC00D4">
        <w:rPr>
          <w:rFonts w:cs="Tahoma"/>
          <w:bCs/>
          <w:szCs w:val="20"/>
        </w:rPr>
        <w:t>Iniezione indifferibile e indispensabile (Cassazione 23 dicembre 1999 numero 14503);</w:t>
      </w:r>
    </w:p>
    <w:p w14:paraId="68C04F21" w14:textId="77777777" w:rsidR="002558B3" w:rsidRPr="00CC00D4" w:rsidRDefault="002558B3">
      <w:pPr>
        <w:pStyle w:val="Paragrafoelenco"/>
        <w:numPr>
          <w:ilvl w:val="0"/>
          <w:numId w:val="125"/>
        </w:numPr>
        <w:autoSpaceDN w:val="0"/>
        <w:ind w:left="709" w:hanging="357"/>
        <w:contextualSpacing/>
        <w:textAlignment w:val="baseline"/>
        <w:rPr>
          <w:rFonts w:cs="Tahoma"/>
          <w:szCs w:val="20"/>
        </w:rPr>
      </w:pPr>
      <w:r w:rsidRPr="00CC00D4">
        <w:rPr>
          <w:rFonts w:cs="Tahoma"/>
          <w:bCs/>
          <w:szCs w:val="20"/>
        </w:rPr>
        <w:t>Visita presso l’ambulatorio medico in caso di impossibilità di conciliare l’orario di ricevimento con le fasce di reperibilità (Cassazione 2 marzo 2004 numero 4247);</w:t>
      </w:r>
    </w:p>
    <w:p w14:paraId="34A89D79" w14:textId="77777777" w:rsidR="002558B3" w:rsidRPr="00CC00D4" w:rsidRDefault="002558B3">
      <w:pPr>
        <w:pStyle w:val="Paragrafoelenco"/>
        <w:numPr>
          <w:ilvl w:val="0"/>
          <w:numId w:val="125"/>
        </w:numPr>
        <w:autoSpaceDN w:val="0"/>
        <w:ind w:left="709" w:hanging="357"/>
        <w:contextualSpacing/>
        <w:textAlignment w:val="baseline"/>
        <w:rPr>
          <w:rFonts w:cs="Tahoma"/>
          <w:szCs w:val="20"/>
        </w:rPr>
      </w:pPr>
      <w:r w:rsidRPr="00CC00D4">
        <w:rPr>
          <w:rFonts w:cs="Tahoma"/>
          <w:bCs/>
          <w:szCs w:val="20"/>
        </w:rPr>
        <w:t>Visita specialistica in caso di cure dentistiche urgenti (Cassazione 10 dicembre 1998 numero 12458);</w:t>
      </w:r>
    </w:p>
    <w:p w14:paraId="43AE07CB" w14:textId="77777777" w:rsidR="002558B3" w:rsidRPr="00CC00D4" w:rsidRDefault="002558B3">
      <w:pPr>
        <w:pStyle w:val="Paragrafoelenco"/>
        <w:numPr>
          <w:ilvl w:val="0"/>
          <w:numId w:val="125"/>
        </w:numPr>
        <w:autoSpaceDN w:val="0"/>
        <w:ind w:left="709"/>
        <w:textAlignment w:val="baseline"/>
        <w:rPr>
          <w:rFonts w:cs="Tahoma"/>
          <w:szCs w:val="20"/>
        </w:rPr>
      </w:pPr>
      <w:r w:rsidRPr="00CC00D4">
        <w:rPr>
          <w:rFonts w:cs="Tahoma"/>
          <w:bCs/>
          <w:szCs w:val="20"/>
        </w:rPr>
        <w:t>Esigenza indifferibile di recarsi in farmacia (Tribunale Milano 5 settembre 1990).</w:t>
      </w:r>
    </w:p>
    <w:p w14:paraId="066DD29D"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3E3578AC" w14:textId="440FFAA9" w:rsidR="002558B3" w:rsidRPr="00CC00D4" w:rsidRDefault="002558B3" w:rsidP="00F14C98">
      <w:pPr>
        <w:pStyle w:val="Titolo3"/>
      </w:pPr>
      <w:bookmarkStart w:id="215" w:name="__RefHeading__4480_1479815270"/>
      <w:bookmarkStart w:id="216" w:name="_Toc92386506"/>
      <w:bookmarkStart w:id="217" w:name="_Toc124266275"/>
      <w:r w:rsidRPr="00CC00D4">
        <w:t>4.1.12 Competenza esclusiva INPS</w:t>
      </w:r>
      <w:bookmarkEnd w:id="215"/>
      <w:bookmarkEnd w:id="216"/>
      <w:bookmarkEnd w:id="217"/>
    </w:p>
    <w:p w14:paraId="24633BB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capo al committente è previsto il divieto di controllare lo stato di malattia del lavoratore. L’attività in questione può essere svolta soltanto da apposite strutture sanitarie pubbliche (ASL e INPS).</w:t>
      </w:r>
    </w:p>
    <w:p w14:paraId="0DF5F40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Grazie all’entrata in vigore dal 1° settembre 2017 del Polo unico per le visite fiscali, l’Istituto ha competenza esclusiva in materia di Visite Mediche di Controllo (VMC), tanto su richiesta dei datori di lavoro – committenti che d’ufficio.</w:t>
      </w:r>
    </w:p>
    <w:p w14:paraId="2F9EAA1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lastRenderedPageBreak/>
        <w:t>Relativamente agli eventi di durata inferiore a quattro giorni, la visita di controllo può avvenire esclusivamente dietro richiesta del committente (e non d’ufficio).</w:t>
      </w:r>
    </w:p>
    <w:p w14:paraId="74F1465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L’istanza dev’essere inoltrata in via telematica (necessario il possesso delle credenziali SPID, CIE o CNS) collegandosi al portale “</w:t>
      </w:r>
      <w:r w:rsidRPr="00CC00D4">
        <w:rPr>
          <w:rFonts w:ascii="Tahoma" w:hAnsi="Tahoma" w:cs="Tahoma"/>
          <w:bCs/>
          <w:i/>
          <w:iCs/>
          <w:kern w:val="0"/>
          <w:sz w:val="20"/>
          <w:szCs w:val="20"/>
        </w:rPr>
        <w:t>inps.it – Prestazioni e Servizi – Prestazioni – Richiesta Visite Mediche di Controllo (Polo unico VMC)</w:t>
      </w:r>
      <w:r w:rsidRPr="00CC00D4">
        <w:rPr>
          <w:rFonts w:ascii="Tahoma" w:hAnsi="Tahoma" w:cs="Tahoma"/>
          <w:bCs/>
          <w:kern w:val="0"/>
          <w:sz w:val="20"/>
          <w:szCs w:val="20"/>
        </w:rPr>
        <w:t>”.</w:t>
      </w:r>
    </w:p>
    <w:p w14:paraId="67248B10"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7FF7D0A1" w14:textId="48AD2647" w:rsidR="002558B3" w:rsidRPr="00CC00D4" w:rsidRDefault="002558B3" w:rsidP="00F14C98">
      <w:pPr>
        <w:pStyle w:val="Titolo3"/>
        <w:rPr>
          <w:u w:val="none"/>
        </w:rPr>
      </w:pPr>
      <w:bookmarkStart w:id="218" w:name="__RefHeading__4482_1479815270"/>
      <w:bookmarkStart w:id="219" w:name="_Toc92386507"/>
      <w:bookmarkStart w:id="220" w:name="_Toc124266276"/>
      <w:r w:rsidRPr="00CC00D4">
        <w:t>4.1.13 Contrasto tra certificati</w:t>
      </w:r>
      <w:bookmarkEnd w:id="218"/>
      <w:bookmarkEnd w:id="219"/>
      <w:bookmarkEnd w:id="220"/>
    </w:p>
    <w:p w14:paraId="610BBF4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lavoratore sottoposto a visita fiscale può contestare il certificato rilasciato dal medico di controllo. Questi dovrà annotare nel referto i rilievi dell’interessato.</w:t>
      </w:r>
    </w:p>
    <w:p w14:paraId="1AB6CEE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decisione definitiva spetta al coordinatore sanitario della sede INPS competente, il quale deciderà se prevale il certificato del medico di controllo o quello del medico curante. In pendenza del giudizio, il collaboratore dovrà comportarsi come prescritto dal medico curante.</w:t>
      </w:r>
    </w:p>
    <w:p w14:paraId="722C5D4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caso di controversia, l’autorità giudiziaria stabilirà quale dei due certificati è più attendibile.</w:t>
      </w:r>
    </w:p>
    <w:p w14:paraId="2B02E261"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8B373A3" w14:textId="4FCB5A61" w:rsidR="002558B3" w:rsidRPr="00CC00D4" w:rsidRDefault="002558B3" w:rsidP="00F14C98">
      <w:pPr>
        <w:pStyle w:val="Titolo2"/>
      </w:pPr>
      <w:bookmarkStart w:id="221" w:name="__RefHeading__4484_1479815270"/>
      <w:bookmarkStart w:id="222" w:name="_Toc92386508"/>
      <w:bookmarkStart w:id="223" w:name="_Toc124266277"/>
      <w:r w:rsidRPr="00CC00D4">
        <w:t>4.2 Degenza ospedaliera</w:t>
      </w:r>
      <w:bookmarkEnd w:id="221"/>
      <w:bookmarkEnd w:id="222"/>
      <w:bookmarkEnd w:id="223"/>
    </w:p>
    <w:p w14:paraId="07680A3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lavoratori autonomi occasionali iscritti in via esclusiva alla Gestione Separata (articolo 59 comma 16 Legge 27 dicembre 1997 numero 449, DM 12 gennaio 2001, articolo 2 bis Decreto legislativo 15 giugno 2015 numero 81, articolo 1 comma 1 lettera b Decreto legge 3 settembre 2019 numero 101 convertito con modificazioni in Legge 2 novembre 2019 numero 128) hanno diritto ad una prestazione economica (soggetta a prescrizione nel termine di un anno dal giorno successivo alle dimissioni), aggiuntiva all’indennità di malattia, in caso di:</w:t>
      </w:r>
    </w:p>
    <w:p w14:paraId="3D5D675B" w14:textId="77777777" w:rsidR="002558B3" w:rsidRPr="00CC00D4" w:rsidRDefault="002558B3">
      <w:pPr>
        <w:pStyle w:val="Paragrafoelenco"/>
        <w:numPr>
          <w:ilvl w:val="0"/>
          <w:numId w:val="129"/>
        </w:numPr>
        <w:autoSpaceDN w:val="0"/>
        <w:ind w:left="709" w:hanging="357"/>
        <w:contextualSpacing/>
        <w:textAlignment w:val="baseline"/>
        <w:rPr>
          <w:rFonts w:cs="Tahoma"/>
          <w:szCs w:val="20"/>
        </w:rPr>
      </w:pPr>
      <w:r w:rsidRPr="00CC00D4">
        <w:rPr>
          <w:rFonts w:cs="Tahoma"/>
          <w:szCs w:val="20"/>
        </w:rPr>
        <w:t>Ricovero presso strutture ospedaliere pubbliche o private accreditate dal Servizio sanitario nazionale;</w:t>
      </w:r>
    </w:p>
    <w:p w14:paraId="4352D371" w14:textId="77777777" w:rsidR="002558B3" w:rsidRPr="00CC00D4" w:rsidRDefault="002558B3">
      <w:pPr>
        <w:pStyle w:val="Paragrafoelenco"/>
        <w:numPr>
          <w:ilvl w:val="0"/>
          <w:numId w:val="129"/>
        </w:numPr>
        <w:autoSpaceDN w:val="0"/>
        <w:ind w:left="709" w:hanging="357"/>
        <w:contextualSpacing/>
        <w:textAlignment w:val="baseline"/>
        <w:rPr>
          <w:rFonts w:cs="Tahoma"/>
          <w:szCs w:val="20"/>
        </w:rPr>
      </w:pPr>
      <w:r w:rsidRPr="00CC00D4">
        <w:rPr>
          <w:rFonts w:cs="Tahoma"/>
          <w:szCs w:val="20"/>
        </w:rPr>
        <w:t>Prestazioni rese in regime di day hospital;</w:t>
      </w:r>
    </w:p>
    <w:p w14:paraId="5B867788" w14:textId="77777777" w:rsidR="002558B3" w:rsidRPr="00CC00D4" w:rsidRDefault="002558B3">
      <w:pPr>
        <w:pStyle w:val="Paragrafoelenco"/>
        <w:numPr>
          <w:ilvl w:val="0"/>
          <w:numId w:val="129"/>
        </w:numPr>
        <w:autoSpaceDN w:val="0"/>
        <w:ind w:left="709"/>
        <w:textAlignment w:val="baseline"/>
        <w:rPr>
          <w:rFonts w:cs="Tahoma"/>
          <w:szCs w:val="20"/>
        </w:rPr>
      </w:pPr>
      <w:r w:rsidRPr="00CC00D4">
        <w:rPr>
          <w:rFonts w:cs="Tahoma"/>
          <w:szCs w:val="20"/>
        </w:rPr>
        <w:t>Periodi di malattia conseguenti a terapie connesse a patologie oncologiche o gravi patologie cronico – degenerative ingravescenti che comportano un’inabilità lavorativa al 100%.</w:t>
      </w:r>
    </w:p>
    <w:p w14:paraId="50A4824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quest’ultima ipotesi il lavoratore dovrà produrre, oltre al certificato di malattia:</w:t>
      </w:r>
    </w:p>
    <w:p w14:paraId="5227EBBC" w14:textId="77777777" w:rsidR="002558B3" w:rsidRPr="00CC00D4" w:rsidRDefault="002558B3">
      <w:pPr>
        <w:pStyle w:val="Paragrafoelenco"/>
        <w:numPr>
          <w:ilvl w:val="0"/>
          <w:numId w:val="128"/>
        </w:numPr>
        <w:autoSpaceDN w:val="0"/>
        <w:ind w:left="709" w:hanging="357"/>
        <w:contextualSpacing/>
        <w:textAlignment w:val="baseline"/>
        <w:rPr>
          <w:rFonts w:cs="Tahoma"/>
          <w:szCs w:val="20"/>
        </w:rPr>
      </w:pPr>
      <w:r w:rsidRPr="00CC00D4">
        <w:rPr>
          <w:rFonts w:cs="Tahoma"/>
          <w:szCs w:val="20"/>
        </w:rPr>
        <w:t>Cartelle cliniche;</w:t>
      </w:r>
    </w:p>
    <w:p w14:paraId="608B7FBC" w14:textId="77777777" w:rsidR="002558B3" w:rsidRPr="00CC00D4" w:rsidRDefault="002558B3">
      <w:pPr>
        <w:pStyle w:val="Paragrafoelenco"/>
        <w:numPr>
          <w:ilvl w:val="0"/>
          <w:numId w:val="128"/>
        </w:numPr>
        <w:autoSpaceDN w:val="0"/>
        <w:ind w:left="709" w:hanging="357"/>
        <w:contextualSpacing/>
        <w:textAlignment w:val="baseline"/>
        <w:rPr>
          <w:rFonts w:cs="Tahoma"/>
          <w:szCs w:val="20"/>
        </w:rPr>
      </w:pPr>
      <w:r w:rsidRPr="00CC00D4">
        <w:rPr>
          <w:rFonts w:cs="Tahoma"/>
          <w:szCs w:val="20"/>
        </w:rPr>
        <w:t>Relazioni mediche;</w:t>
      </w:r>
    </w:p>
    <w:p w14:paraId="62B03379" w14:textId="77777777" w:rsidR="002558B3" w:rsidRPr="00CC00D4" w:rsidRDefault="002558B3">
      <w:pPr>
        <w:pStyle w:val="Paragrafoelenco"/>
        <w:numPr>
          <w:ilvl w:val="0"/>
          <w:numId w:val="128"/>
        </w:numPr>
        <w:autoSpaceDN w:val="0"/>
        <w:ind w:left="709" w:hanging="357"/>
        <w:contextualSpacing/>
        <w:textAlignment w:val="baseline"/>
        <w:rPr>
          <w:rFonts w:cs="Tahoma"/>
          <w:szCs w:val="20"/>
        </w:rPr>
      </w:pPr>
      <w:r w:rsidRPr="00CC00D4">
        <w:rPr>
          <w:rFonts w:cs="Tahoma"/>
          <w:szCs w:val="20"/>
        </w:rPr>
        <w:t>Accertamenti diagnostici;</w:t>
      </w:r>
    </w:p>
    <w:p w14:paraId="1CB3A38B" w14:textId="77777777" w:rsidR="002558B3" w:rsidRPr="00CC00D4" w:rsidRDefault="002558B3">
      <w:pPr>
        <w:pStyle w:val="Paragrafoelenco"/>
        <w:numPr>
          <w:ilvl w:val="0"/>
          <w:numId w:val="128"/>
        </w:numPr>
        <w:autoSpaceDN w:val="0"/>
        <w:ind w:left="709"/>
        <w:textAlignment w:val="baseline"/>
        <w:rPr>
          <w:rFonts w:cs="Tahoma"/>
          <w:szCs w:val="20"/>
        </w:rPr>
      </w:pPr>
      <w:r w:rsidRPr="00CC00D4">
        <w:rPr>
          <w:rFonts w:cs="Tahoma"/>
          <w:szCs w:val="20"/>
        </w:rPr>
        <w:lastRenderedPageBreak/>
        <w:t>Qualsiasi altro elemento comprovante l’effettuazione della terapia antineoplastica ovvero la sussistenza di una grave patologia cronica invalidante.</w:t>
      </w:r>
    </w:p>
    <w:p w14:paraId="3295C54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L’ulteriore documentazione sarà inviata in un plico chiuso alla sede INPS competente, con la dicitura “</w:t>
      </w:r>
      <w:r w:rsidRPr="00CC00D4">
        <w:rPr>
          <w:rFonts w:ascii="Tahoma" w:hAnsi="Tahoma" w:cs="Tahoma"/>
          <w:i/>
          <w:iCs/>
          <w:kern w:val="0"/>
          <w:sz w:val="20"/>
          <w:szCs w:val="20"/>
        </w:rPr>
        <w:t>contiene dati sensibili di natura sanitaria</w:t>
      </w:r>
      <w:r w:rsidRPr="00CC00D4">
        <w:rPr>
          <w:rFonts w:ascii="Tahoma" w:hAnsi="Tahoma" w:cs="Tahoma"/>
          <w:kern w:val="0"/>
          <w:sz w:val="20"/>
          <w:szCs w:val="20"/>
        </w:rPr>
        <w:t>”.</w:t>
      </w:r>
    </w:p>
    <w:p w14:paraId="36BD9D4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mancanza dei documenti in questione la domanda di indennità per degenza ospedaliera sarà trasformata d’ufficio in malattia ordinaria.</w:t>
      </w:r>
    </w:p>
    <w:p w14:paraId="23471232" w14:textId="77777777" w:rsidR="002558B3" w:rsidRPr="00CC00D4" w:rsidRDefault="002558B3" w:rsidP="002558B3">
      <w:pPr>
        <w:pStyle w:val="Standard"/>
        <w:spacing w:after="200" w:line="360" w:lineRule="auto"/>
        <w:jc w:val="both"/>
        <w:rPr>
          <w:rFonts w:ascii="Tahoma" w:hAnsi="Tahoma" w:cs="Tahoma"/>
          <w:kern w:val="0"/>
          <w:sz w:val="20"/>
          <w:szCs w:val="20"/>
        </w:rPr>
      </w:pPr>
    </w:p>
    <w:p w14:paraId="7891CF7E" w14:textId="330F74FF" w:rsidR="002558B3" w:rsidRPr="00CC00D4" w:rsidRDefault="002558B3" w:rsidP="00F14C98">
      <w:pPr>
        <w:pStyle w:val="Titolo3"/>
      </w:pPr>
      <w:bookmarkStart w:id="224" w:name="__RefHeading__4486_1479815270"/>
      <w:bookmarkStart w:id="225" w:name="_Toc92386509"/>
      <w:bookmarkStart w:id="226" w:name="_Toc124266278"/>
      <w:r w:rsidRPr="00CC00D4">
        <w:t>4.2.1 Requisiti</w:t>
      </w:r>
      <w:bookmarkEnd w:id="224"/>
      <w:bookmarkEnd w:id="225"/>
      <w:bookmarkEnd w:id="226"/>
    </w:p>
    <w:p w14:paraId="0CD211F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L’indennità INPS spetta a patto che:</w:t>
      </w:r>
    </w:p>
    <w:p w14:paraId="720891BD" w14:textId="77777777" w:rsidR="002558B3" w:rsidRPr="00CC00D4" w:rsidRDefault="002558B3">
      <w:pPr>
        <w:pStyle w:val="Paragrafoelenco"/>
        <w:numPr>
          <w:ilvl w:val="0"/>
          <w:numId w:val="126"/>
        </w:numPr>
        <w:autoSpaceDN w:val="0"/>
        <w:ind w:left="709" w:hanging="357"/>
        <w:contextualSpacing/>
        <w:textAlignment w:val="baseline"/>
        <w:rPr>
          <w:rFonts w:cs="Tahoma"/>
          <w:szCs w:val="20"/>
        </w:rPr>
      </w:pPr>
      <w:r w:rsidRPr="00CC00D4">
        <w:rPr>
          <w:rFonts w:cs="Tahoma"/>
          <w:szCs w:val="20"/>
        </w:rPr>
        <w:t>Sia stata accreditata almeno una mensilità di contribuzione alla Gestione Separata nei dodici mesi precedenti l’inizio della malattia;</w:t>
      </w:r>
    </w:p>
    <w:p w14:paraId="2312D66A" w14:textId="61CDF3CC" w:rsidR="002558B3" w:rsidRPr="00CC00D4" w:rsidRDefault="002558B3" w:rsidP="002558B3">
      <w:pPr>
        <w:pStyle w:val="Paragrafoelenco"/>
        <w:numPr>
          <w:ilvl w:val="0"/>
          <w:numId w:val="126"/>
        </w:numPr>
        <w:autoSpaceDN w:val="0"/>
        <w:ind w:left="709"/>
        <w:textAlignment w:val="baseline"/>
        <w:rPr>
          <w:rFonts w:cs="Tahoma"/>
          <w:szCs w:val="20"/>
        </w:rPr>
      </w:pPr>
      <w:r w:rsidRPr="00CC00D4">
        <w:rPr>
          <w:rFonts w:cs="Tahoma"/>
          <w:szCs w:val="20"/>
        </w:rPr>
        <w:t xml:space="preserve">Il reddito individuale dell’iscritto non ecceda il 70% del massimale contributivo annuo </w:t>
      </w:r>
      <w:r w:rsidR="000804BF" w:rsidRPr="00CC00D4">
        <w:rPr>
          <w:rFonts w:cs="Tahoma"/>
          <w:bCs/>
          <w:szCs w:val="20"/>
        </w:rPr>
        <w:t>(pari per il 2022</w:t>
      </w:r>
      <w:r w:rsidRPr="00CC00D4">
        <w:rPr>
          <w:rFonts w:cs="Tahoma"/>
          <w:bCs/>
          <w:szCs w:val="20"/>
        </w:rPr>
        <w:t xml:space="preserve"> ad euro </w:t>
      </w:r>
      <w:r w:rsidR="000804BF" w:rsidRPr="00CC00D4">
        <w:rPr>
          <w:rFonts w:cs="Tahoma"/>
          <w:bCs/>
          <w:szCs w:val="20"/>
        </w:rPr>
        <w:t>105.014,00</w:t>
      </w:r>
      <w:r w:rsidRPr="00CC00D4">
        <w:rPr>
          <w:rFonts w:cs="Tahoma"/>
          <w:bCs/>
          <w:szCs w:val="20"/>
        </w:rPr>
        <w:t>).</w:t>
      </w:r>
    </w:p>
    <w:p w14:paraId="09344163" w14:textId="77777777" w:rsidR="00634069" w:rsidRPr="00CC00D4" w:rsidRDefault="00634069" w:rsidP="00F14C98">
      <w:pPr>
        <w:pStyle w:val="Titolo3"/>
        <w:rPr>
          <w:u w:val="none"/>
        </w:rPr>
      </w:pPr>
      <w:bookmarkStart w:id="227" w:name="__RefHeading__4488_1479815270"/>
      <w:bookmarkStart w:id="228" w:name="_Toc92386510"/>
    </w:p>
    <w:p w14:paraId="24B86DFC" w14:textId="0511714D" w:rsidR="002558B3" w:rsidRPr="00CC00D4" w:rsidRDefault="002558B3" w:rsidP="00F14C98">
      <w:pPr>
        <w:pStyle w:val="Titolo3"/>
        <w:rPr>
          <w:u w:val="none"/>
        </w:rPr>
      </w:pPr>
      <w:bookmarkStart w:id="229" w:name="_Toc124266279"/>
      <w:r w:rsidRPr="00CC00D4">
        <w:t>4.2.2 Durata e importo</w:t>
      </w:r>
      <w:bookmarkEnd w:id="227"/>
      <w:bookmarkEnd w:id="228"/>
      <w:bookmarkEnd w:id="229"/>
    </w:p>
    <w:p w14:paraId="52602F5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prestazione economica copre ogni giornata di ricovero, comprese le festività e il giorno delle dimissioni, nel limite massimo di 180 giorni nell’anno solare.</w:t>
      </w:r>
    </w:p>
    <w:p w14:paraId="4F0511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L’importo a carico della Gestione Separata si calcola applicando al massimale contributivo dell’anno di insorgenza dell’evento, diviso per 365, un’aliquota percentuale differenziata a seconda del numero di mensilità di contribuzione (anche non continuative) accreditate nei dodici mesi precedenti la data di inizio del ricovero:</w:t>
      </w:r>
    </w:p>
    <w:p w14:paraId="108875E3" w14:textId="77777777" w:rsidR="002558B3" w:rsidRPr="00CC00D4" w:rsidRDefault="002558B3">
      <w:pPr>
        <w:pStyle w:val="Paragrafoelenco"/>
        <w:numPr>
          <w:ilvl w:val="0"/>
          <w:numId w:val="131"/>
        </w:numPr>
        <w:autoSpaceDN w:val="0"/>
        <w:ind w:left="709" w:hanging="357"/>
        <w:contextualSpacing/>
        <w:textAlignment w:val="baseline"/>
        <w:rPr>
          <w:rFonts w:cs="Tahoma"/>
          <w:szCs w:val="20"/>
        </w:rPr>
      </w:pPr>
      <w:r w:rsidRPr="00CC00D4">
        <w:rPr>
          <w:rFonts w:cs="Tahoma"/>
          <w:szCs w:val="20"/>
        </w:rPr>
        <w:t>Fino a 4 mensilità di contributi accreditati si applica un’aliquota del 16%;</w:t>
      </w:r>
    </w:p>
    <w:p w14:paraId="5E1F3079" w14:textId="77777777" w:rsidR="002558B3" w:rsidRPr="00CC00D4" w:rsidRDefault="002558B3">
      <w:pPr>
        <w:pStyle w:val="Paragrafoelenco"/>
        <w:numPr>
          <w:ilvl w:val="0"/>
          <w:numId w:val="131"/>
        </w:numPr>
        <w:autoSpaceDN w:val="0"/>
        <w:ind w:left="709" w:hanging="357"/>
        <w:contextualSpacing/>
        <w:textAlignment w:val="baseline"/>
        <w:rPr>
          <w:rFonts w:cs="Tahoma"/>
          <w:szCs w:val="20"/>
        </w:rPr>
      </w:pPr>
      <w:r w:rsidRPr="00CC00D4">
        <w:rPr>
          <w:rFonts w:cs="Tahoma"/>
          <w:szCs w:val="20"/>
        </w:rPr>
        <w:t>Da 5 a 8 mensilità la percentuale è del 24%;</w:t>
      </w:r>
    </w:p>
    <w:p w14:paraId="6D9375D6" w14:textId="77777777" w:rsidR="002558B3" w:rsidRPr="00CC00D4" w:rsidRDefault="002558B3">
      <w:pPr>
        <w:pStyle w:val="Paragrafoelenco"/>
        <w:numPr>
          <w:ilvl w:val="0"/>
          <w:numId w:val="131"/>
        </w:numPr>
        <w:autoSpaceDN w:val="0"/>
        <w:ind w:left="709"/>
        <w:textAlignment w:val="baseline"/>
        <w:rPr>
          <w:rFonts w:cs="Tahoma"/>
          <w:szCs w:val="20"/>
        </w:rPr>
      </w:pPr>
      <w:r w:rsidRPr="00CC00D4">
        <w:rPr>
          <w:rFonts w:cs="Tahoma"/>
          <w:szCs w:val="20"/>
        </w:rPr>
        <w:t>Da 9 a 12 mensilità la percentuale è pari al 32%.</w:t>
      </w:r>
    </w:p>
    <w:p w14:paraId="4D1C717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Posto che il massimale 20</w:t>
      </w:r>
      <w:r w:rsidR="000804BF" w:rsidRPr="00CC00D4">
        <w:rPr>
          <w:rFonts w:ascii="Tahoma" w:hAnsi="Tahoma" w:cs="Tahoma"/>
          <w:kern w:val="0"/>
          <w:sz w:val="20"/>
          <w:szCs w:val="20"/>
        </w:rPr>
        <w:t>22</w:t>
      </w:r>
      <w:r w:rsidRPr="00CC00D4">
        <w:rPr>
          <w:rFonts w:ascii="Tahoma" w:hAnsi="Tahoma" w:cs="Tahoma"/>
          <w:kern w:val="0"/>
          <w:sz w:val="20"/>
          <w:szCs w:val="20"/>
        </w:rPr>
        <w:t xml:space="preserve"> è pari ad euro </w:t>
      </w:r>
      <w:r w:rsidR="000804BF" w:rsidRPr="00CC00D4">
        <w:rPr>
          <w:rFonts w:ascii="Tahoma" w:hAnsi="Tahoma" w:cs="Tahoma"/>
          <w:kern w:val="0"/>
          <w:sz w:val="20"/>
          <w:szCs w:val="20"/>
        </w:rPr>
        <w:t>105.014</w:t>
      </w:r>
      <w:r w:rsidRPr="00CC00D4">
        <w:rPr>
          <w:rFonts w:ascii="Tahoma" w:hAnsi="Tahoma" w:cs="Tahoma"/>
          <w:kern w:val="0"/>
          <w:sz w:val="20"/>
          <w:szCs w:val="20"/>
        </w:rPr>
        <w:t xml:space="preserve">,00 ed il suo equivalente giornaliero corrisponde ad euro </w:t>
      </w:r>
      <w:r w:rsidR="005D73DE" w:rsidRPr="00CC00D4">
        <w:rPr>
          <w:rFonts w:ascii="Tahoma" w:hAnsi="Tahoma" w:cs="Tahoma"/>
          <w:kern w:val="0"/>
          <w:sz w:val="20"/>
          <w:szCs w:val="20"/>
        </w:rPr>
        <w:t>287,71</w:t>
      </w:r>
      <w:r w:rsidRPr="00CC00D4">
        <w:rPr>
          <w:rFonts w:ascii="Tahoma" w:hAnsi="Tahoma" w:cs="Tahoma"/>
          <w:kern w:val="0"/>
          <w:sz w:val="20"/>
          <w:szCs w:val="20"/>
        </w:rPr>
        <w:t xml:space="preserve"> per ogni giornata di ricovero indennizzabile, il lavoratore avrà diritto a:</w:t>
      </w:r>
    </w:p>
    <w:p w14:paraId="57393965" w14:textId="77777777" w:rsidR="002558B3" w:rsidRPr="00CC00D4" w:rsidRDefault="005D73DE">
      <w:pPr>
        <w:pStyle w:val="Paragrafoelenco"/>
        <w:numPr>
          <w:ilvl w:val="0"/>
          <w:numId w:val="127"/>
        </w:numPr>
        <w:autoSpaceDN w:val="0"/>
        <w:ind w:left="709" w:hanging="357"/>
        <w:contextualSpacing/>
        <w:textAlignment w:val="baseline"/>
        <w:rPr>
          <w:rFonts w:cs="Tahoma"/>
          <w:szCs w:val="20"/>
        </w:rPr>
      </w:pPr>
      <w:r w:rsidRPr="00CC00D4">
        <w:rPr>
          <w:rFonts w:cs="Tahoma"/>
          <w:szCs w:val="20"/>
        </w:rPr>
        <w:t>46,03</w:t>
      </w:r>
      <w:r w:rsidR="002558B3" w:rsidRPr="00CC00D4">
        <w:rPr>
          <w:rFonts w:cs="Tahoma"/>
          <w:szCs w:val="20"/>
        </w:rPr>
        <w:t xml:space="preserve"> euro se nei 12 mesi precedenti risultano accreditate fino a 4 mensilità di contributi;</w:t>
      </w:r>
    </w:p>
    <w:p w14:paraId="495BB1C1" w14:textId="77777777" w:rsidR="002558B3" w:rsidRPr="00CC00D4" w:rsidRDefault="005D73DE">
      <w:pPr>
        <w:pStyle w:val="Paragrafoelenco"/>
        <w:numPr>
          <w:ilvl w:val="0"/>
          <w:numId w:val="127"/>
        </w:numPr>
        <w:autoSpaceDN w:val="0"/>
        <w:ind w:left="709" w:hanging="357"/>
        <w:contextualSpacing/>
        <w:textAlignment w:val="baseline"/>
        <w:rPr>
          <w:rFonts w:cs="Tahoma"/>
          <w:szCs w:val="20"/>
        </w:rPr>
      </w:pPr>
      <w:r w:rsidRPr="00CC00D4">
        <w:rPr>
          <w:rFonts w:cs="Tahoma"/>
          <w:szCs w:val="20"/>
        </w:rPr>
        <w:t>69,05</w:t>
      </w:r>
      <w:r w:rsidR="002558B3" w:rsidRPr="00CC00D4">
        <w:rPr>
          <w:rFonts w:cs="Tahoma"/>
          <w:szCs w:val="20"/>
        </w:rPr>
        <w:t xml:space="preserve"> euro se nei 12 mesi precedenti le mensilità accreditate sono da cinque a otto;</w:t>
      </w:r>
    </w:p>
    <w:p w14:paraId="5DBF1FB0" w14:textId="77777777" w:rsidR="002558B3" w:rsidRPr="00CC00D4" w:rsidRDefault="005D73DE">
      <w:pPr>
        <w:pStyle w:val="Paragrafoelenco"/>
        <w:numPr>
          <w:ilvl w:val="0"/>
          <w:numId w:val="127"/>
        </w:numPr>
        <w:autoSpaceDN w:val="0"/>
        <w:ind w:left="709"/>
        <w:textAlignment w:val="baseline"/>
        <w:rPr>
          <w:rFonts w:cs="Tahoma"/>
          <w:szCs w:val="20"/>
        </w:rPr>
      </w:pPr>
      <w:r w:rsidRPr="00CC00D4">
        <w:rPr>
          <w:rFonts w:cs="Tahoma"/>
          <w:szCs w:val="20"/>
        </w:rPr>
        <w:t>92,07</w:t>
      </w:r>
      <w:r w:rsidR="002558B3" w:rsidRPr="00CC00D4">
        <w:rPr>
          <w:rFonts w:cs="Tahoma"/>
          <w:szCs w:val="20"/>
        </w:rPr>
        <w:t xml:space="preserve"> euro se nei 12 mesi precedenti risultano accreditate da nove a dodici mensilità.</w:t>
      </w:r>
    </w:p>
    <w:p w14:paraId="24A6E3DE" w14:textId="150A365A" w:rsidR="002558B3" w:rsidRPr="00CC00D4" w:rsidRDefault="002558B3" w:rsidP="00F14C98">
      <w:pPr>
        <w:pStyle w:val="Titolo3"/>
      </w:pPr>
      <w:bookmarkStart w:id="230" w:name="__RefHeading__4490_1479815270"/>
      <w:bookmarkStart w:id="231" w:name="_Toc92386511"/>
      <w:bookmarkStart w:id="232" w:name="_Toc124266280"/>
      <w:r w:rsidRPr="00CC00D4">
        <w:lastRenderedPageBreak/>
        <w:t>4.2.3 Domanda</w:t>
      </w:r>
      <w:bookmarkEnd w:id="230"/>
      <w:bookmarkEnd w:id="231"/>
      <w:bookmarkEnd w:id="232"/>
    </w:p>
    <w:p w14:paraId="31807CD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richiesta di indennità dev’essere inviata in modalità telematica utilizzando il modello SR06, entro 180 giorni dalle dimissioni, collegandosi al portale “</w:t>
      </w:r>
      <w:r w:rsidRPr="00CC00D4">
        <w:rPr>
          <w:rFonts w:ascii="Tahoma" w:hAnsi="Tahoma" w:cs="Tahoma"/>
          <w:i/>
          <w:iCs/>
          <w:kern w:val="0"/>
          <w:sz w:val="20"/>
          <w:szCs w:val="20"/>
        </w:rPr>
        <w:t>inps.it – Prestazioni e Servizi – Prestazioni – Malattia e degenza ospedaliera per iscritti alla Gestione Separata</w:t>
      </w:r>
      <w:r w:rsidRPr="00CC00D4">
        <w:rPr>
          <w:rFonts w:ascii="Tahoma" w:hAnsi="Tahoma" w:cs="Tahoma"/>
          <w:kern w:val="0"/>
          <w:sz w:val="20"/>
          <w:szCs w:val="20"/>
        </w:rPr>
        <w:t>” per gli utenti in possesso delle credenziali SPID, CIE o CNS.</w:t>
      </w:r>
    </w:p>
    <w:p w14:paraId="2941F8A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alternativa è possibile utilizzare i seguenti canali:</w:t>
      </w:r>
    </w:p>
    <w:p w14:paraId="62EC1EFD" w14:textId="77777777" w:rsidR="002558B3" w:rsidRPr="00CC00D4" w:rsidRDefault="002558B3">
      <w:pPr>
        <w:pStyle w:val="Paragrafoelenco"/>
        <w:numPr>
          <w:ilvl w:val="0"/>
          <w:numId w:val="130"/>
        </w:numPr>
        <w:autoSpaceDN w:val="0"/>
        <w:ind w:left="709" w:hanging="357"/>
        <w:contextualSpacing/>
        <w:textAlignment w:val="baseline"/>
        <w:rPr>
          <w:rFonts w:cs="Tahoma"/>
          <w:szCs w:val="20"/>
        </w:rPr>
      </w:pPr>
      <w:r w:rsidRPr="00CC00D4">
        <w:rPr>
          <w:rFonts w:cs="Tahoma"/>
          <w:szCs w:val="20"/>
        </w:rPr>
        <w:t>Contact center INPS disponibile al numero 803.164 (da rete fissa) ovvero 06.164.164 da rete mobile;</w:t>
      </w:r>
    </w:p>
    <w:p w14:paraId="176DBC56" w14:textId="77777777" w:rsidR="002558B3" w:rsidRPr="00CC00D4" w:rsidRDefault="002558B3">
      <w:pPr>
        <w:pStyle w:val="Paragrafoelenco"/>
        <w:numPr>
          <w:ilvl w:val="0"/>
          <w:numId w:val="130"/>
        </w:numPr>
        <w:autoSpaceDN w:val="0"/>
        <w:ind w:left="709"/>
        <w:textAlignment w:val="baseline"/>
        <w:rPr>
          <w:rFonts w:cs="Tahoma"/>
          <w:szCs w:val="20"/>
        </w:rPr>
      </w:pPr>
      <w:r w:rsidRPr="00CC00D4">
        <w:rPr>
          <w:rFonts w:cs="Tahoma"/>
          <w:szCs w:val="20"/>
        </w:rPr>
        <w:t>Avvalendosi dei servizi garantiti dagli enti di patronato ovvero dagli intermediari INPS.</w:t>
      </w:r>
    </w:p>
    <w:p w14:paraId="67DEDC59" w14:textId="77777777" w:rsidR="002558B3" w:rsidRPr="00CC00D4" w:rsidRDefault="002558B3" w:rsidP="002558B3">
      <w:pPr>
        <w:pStyle w:val="Standard"/>
        <w:spacing w:after="200" w:line="360" w:lineRule="auto"/>
        <w:jc w:val="both"/>
        <w:rPr>
          <w:rFonts w:ascii="Tahoma" w:hAnsi="Tahoma" w:cs="Tahoma"/>
          <w:kern w:val="0"/>
          <w:sz w:val="20"/>
          <w:szCs w:val="20"/>
        </w:rPr>
      </w:pPr>
    </w:p>
    <w:p w14:paraId="6BB82982" w14:textId="392F82E5" w:rsidR="002558B3" w:rsidRPr="00CC00D4" w:rsidRDefault="002558B3" w:rsidP="00F14C98">
      <w:pPr>
        <w:pStyle w:val="Titolo3"/>
        <w:rPr>
          <w:u w:val="none"/>
        </w:rPr>
      </w:pPr>
      <w:bookmarkStart w:id="233" w:name="__RefHeading__4492_1479815270"/>
      <w:bookmarkStart w:id="234" w:name="_Toc92386512"/>
      <w:bookmarkStart w:id="235" w:name="_Toc124266281"/>
      <w:r w:rsidRPr="00CC00D4">
        <w:t>4.2.4 Contributi figurativi</w:t>
      </w:r>
      <w:bookmarkEnd w:id="233"/>
      <w:bookmarkEnd w:id="234"/>
      <w:bookmarkEnd w:id="235"/>
    </w:p>
    <w:p w14:paraId="131D3EA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periodi coperti da indennità per degenza ospedaliera o malattia non comportano alcun accredito di contributi figurativi.</w:t>
      </w:r>
    </w:p>
    <w:p w14:paraId="63F8C7F5" w14:textId="77777777" w:rsidR="002411E3" w:rsidRPr="00CC00D4" w:rsidRDefault="002411E3" w:rsidP="00130676">
      <w:pPr>
        <w:pStyle w:val="Citazione"/>
      </w:pPr>
      <w:bookmarkStart w:id="236" w:name="__RefHeading__4494_1479815270"/>
      <w:bookmarkStart w:id="237" w:name="_Toc92386513"/>
    </w:p>
    <w:p w14:paraId="5A1BEC8D" w14:textId="19DEE4B8" w:rsidR="002558B3" w:rsidRPr="00CC00D4" w:rsidRDefault="002558B3" w:rsidP="00F14C98">
      <w:pPr>
        <w:pStyle w:val="Titolo2"/>
      </w:pPr>
      <w:bookmarkStart w:id="238" w:name="_Toc124266282"/>
      <w:r w:rsidRPr="00CC00D4">
        <w:t>4.3 Indennità di maternità</w:t>
      </w:r>
      <w:bookmarkEnd w:id="236"/>
      <w:bookmarkEnd w:id="237"/>
      <w:bookmarkEnd w:id="238"/>
    </w:p>
    <w:p w14:paraId="7C4EC24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lavoratrici iscritte (articolo 59 comma 16 Legge 27 dicembre 1997 numero 449, articolo 80 comma 12 Legge 23 dicembre 2000 numero 388, articolo 1 comma 791 Legge 27 dicembre 2006 numero 296, DM 12 luglio 2007, articolo 2 bis Decreto legislativo 15 giugno 2015 numero 81, articolo 1 comma 1 lettera b Decreto legge 3 settembre 2019 numero 101 convertito con modificazioni in Legge 2 novembre 2019 numero 128) in via esclusiva alla Gestione Separata hanno diritto ad un’indennità di maternità (pagata direttamente dall’INPS) per i due mesi antecedenti ed i tre successivi alla data del parto, a prescindere dall’effettiva astensione dall’attività lavorativa.</w:t>
      </w:r>
    </w:p>
    <w:p w14:paraId="0EFB240A" w14:textId="4E21CDB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facoltà di assentarsi o meno dal lavoro non è prevista a fronte dell’interdizione anticipata dal lavoro disposta dall’ASL a causa di:</w:t>
      </w:r>
    </w:p>
    <w:p w14:paraId="53A24D67" w14:textId="77777777" w:rsidR="002558B3" w:rsidRPr="00CC00D4" w:rsidRDefault="002558B3">
      <w:pPr>
        <w:pStyle w:val="Paragrafoelenco"/>
        <w:numPr>
          <w:ilvl w:val="0"/>
          <w:numId w:val="147"/>
        </w:numPr>
        <w:autoSpaceDN w:val="0"/>
        <w:ind w:left="709" w:hanging="357"/>
        <w:contextualSpacing/>
        <w:textAlignment w:val="baseline"/>
        <w:rPr>
          <w:rFonts w:cs="Tahoma"/>
          <w:szCs w:val="20"/>
        </w:rPr>
      </w:pPr>
      <w:r w:rsidRPr="00CC00D4">
        <w:rPr>
          <w:rFonts w:cs="Tahoma"/>
          <w:szCs w:val="20"/>
        </w:rPr>
        <w:t>Gravi complicanze della gestazione;</w:t>
      </w:r>
    </w:p>
    <w:p w14:paraId="148043FC" w14:textId="77777777" w:rsidR="002558B3" w:rsidRPr="00CC00D4" w:rsidRDefault="002558B3">
      <w:pPr>
        <w:pStyle w:val="Paragrafoelenco"/>
        <w:numPr>
          <w:ilvl w:val="0"/>
          <w:numId w:val="147"/>
        </w:numPr>
        <w:autoSpaceDN w:val="0"/>
        <w:ind w:left="709" w:hanging="357"/>
        <w:contextualSpacing/>
        <w:textAlignment w:val="baseline"/>
        <w:rPr>
          <w:rFonts w:cs="Tahoma"/>
          <w:szCs w:val="20"/>
        </w:rPr>
      </w:pPr>
      <w:r w:rsidRPr="00CC00D4">
        <w:rPr>
          <w:rFonts w:cs="Tahoma"/>
          <w:szCs w:val="20"/>
        </w:rPr>
        <w:t>Preesistenti forme morbose che possono pregiudicare lo stato di gravidanza;</w:t>
      </w:r>
    </w:p>
    <w:p w14:paraId="17BCCCAD" w14:textId="77777777" w:rsidR="002558B3" w:rsidRPr="00CC00D4" w:rsidRDefault="002558B3">
      <w:pPr>
        <w:pStyle w:val="Paragrafoelenco"/>
        <w:numPr>
          <w:ilvl w:val="0"/>
          <w:numId w:val="147"/>
        </w:numPr>
        <w:autoSpaceDN w:val="0"/>
        <w:ind w:left="709"/>
        <w:textAlignment w:val="baseline"/>
        <w:rPr>
          <w:rFonts w:cs="Tahoma"/>
          <w:szCs w:val="20"/>
        </w:rPr>
      </w:pPr>
      <w:r w:rsidRPr="00CC00D4">
        <w:rPr>
          <w:rFonts w:cs="Tahoma"/>
          <w:szCs w:val="20"/>
        </w:rPr>
        <w:t>Condizioni di lavoro o ambientali pregiudizievoli alla salute della donna o del bambino, nel caso in cui l’interessata non possa essere spostata ad altre mansioni nel corso della gestazione.</w:t>
      </w:r>
    </w:p>
    <w:p w14:paraId="4104D02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Parimenti, l’assenza non è facoltativa in caso di proroga dell’astensione obbligatoria sino al settimo mese dopo il parto, se la lavoratrice è addetta ad attività pericolose, faticose o insalubri e non può essere spostata ad altre mansioni.</w:t>
      </w:r>
    </w:p>
    <w:p w14:paraId="29664E12" w14:textId="360BD766" w:rsidR="002558B3" w:rsidRPr="00CC00D4" w:rsidRDefault="002558B3" w:rsidP="00F14C98">
      <w:pPr>
        <w:pStyle w:val="Titolo3"/>
        <w:rPr>
          <w:u w:val="none"/>
        </w:rPr>
      </w:pPr>
      <w:bookmarkStart w:id="239" w:name="__RefHeading__4496_1479815270"/>
      <w:bookmarkStart w:id="240" w:name="_Toc92386514"/>
      <w:bookmarkStart w:id="241" w:name="_Toc124266283"/>
      <w:r w:rsidRPr="00CC00D4">
        <w:lastRenderedPageBreak/>
        <w:t>4.3.1 Casi particolari</w:t>
      </w:r>
      <w:bookmarkEnd w:id="239"/>
      <w:bookmarkEnd w:id="240"/>
      <w:bookmarkEnd w:id="241"/>
    </w:p>
    <w:p w14:paraId="54CDC71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 fronte di un parto prematuro, in anticipo rispetto alla data presunta, ai giorni di maternità successivi al parto si aggiungono quelli non goduti prima del parto stesso.</w:t>
      </w:r>
    </w:p>
    <w:p w14:paraId="755C23F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 contrario, in caso di “parto fortemente prematuro” avvenuto in data antecedente i due mesi precedenti la data presunta del parto, il congedo si determina sommando ai tre mesi post-partum tutti i giorni compresi tra la data effettiva e quella presunta del parto.</w:t>
      </w:r>
    </w:p>
    <w:p w14:paraId="6ADD57D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caso di neonato ricoverato in una struttura pubblica o privata, il beneficiario (padre o madre) può optare per la sospensione del congedo comunicando all’INPS le date di inizio e fine della stessa. Tale possibilità non si applica logicamente in caso di adozione o affidamento del minore.</w:t>
      </w:r>
    </w:p>
    <w:p w14:paraId="487F65C3"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A6FCC85" w14:textId="54E67A35" w:rsidR="002558B3" w:rsidRPr="00CC00D4" w:rsidRDefault="002558B3" w:rsidP="00F14C98">
      <w:pPr>
        <w:pStyle w:val="Titolo3"/>
      </w:pPr>
      <w:bookmarkStart w:id="242" w:name="__RefHeading__4498_1479815270"/>
      <w:bookmarkStart w:id="243" w:name="_Toc92386515"/>
      <w:bookmarkStart w:id="244" w:name="_Toc124266284"/>
      <w:r w:rsidRPr="00CC00D4">
        <w:t>4.3.2 Adozione o affidamento</w:t>
      </w:r>
      <w:bookmarkEnd w:id="242"/>
      <w:bookmarkEnd w:id="243"/>
      <w:bookmarkEnd w:id="244"/>
    </w:p>
    <w:p w14:paraId="0E05ECA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copertura economica in parola è garantita per cinque mesi complessivi in caso di adozione o affidamento (a prescindere dall’età del bambino e fino al compimento della maggiore età dello stesso), decorrenti:</w:t>
      </w:r>
    </w:p>
    <w:p w14:paraId="14537598" w14:textId="77777777" w:rsidR="002558B3" w:rsidRPr="00CC00D4" w:rsidRDefault="002558B3">
      <w:pPr>
        <w:pStyle w:val="Paragrafoelenco"/>
        <w:numPr>
          <w:ilvl w:val="0"/>
          <w:numId w:val="146"/>
        </w:numPr>
        <w:autoSpaceDN w:val="0"/>
        <w:ind w:left="709" w:hanging="357"/>
        <w:contextualSpacing/>
        <w:textAlignment w:val="baseline"/>
        <w:rPr>
          <w:rFonts w:cs="Tahoma"/>
          <w:szCs w:val="20"/>
        </w:rPr>
      </w:pPr>
      <w:r w:rsidRPr="00CC00D4">
        <w:rPr>
          <w:rFonts w:cs="Tahoma"/>
          <w:szCs w:val="20"/>
        </w:rPr>
        <w:t>Per le adozioni nazionali, dal giorno successivo l’effettivo ingresso del minore in famiglia;</w:t>
      </w:r>
    </w:p>
    <w:p w14:paraId="60D2F5EC" w14:textId="77777777" w:rsidR="002558B3" w:rsidRPr="00CC00D4" w:rsidRDefault="002558B3">
      <w:pPr>
        <w:pStyle w:val="Paragrafoelenco"/>
        <w:numPr>
          <w:ilvl w:val="0"/>
          <w:numId w:val="146"/>
        </w:numPr>
        <w:autoSpaceDN w:val="0"/>
        <w:ind w:left="709"/>
        <w:textAlignment w:val="baseline"/>
        <w:rPr>
          <w:rFonts w:cs="Tahoma"/>
          <w:szCs w:val="20"/>
        </w:rPr>
      </w:pPr>
      <w:r w:rsidRPr="00CC00D4">
        <w:rPr>
          <w:rFonts w:cs="Tahoma"/>
          <w:szCs w:val="20"/>
        </w:rPr>
        <w:t>Dall’ingresso del minore in Italia, nelle ipotesi di adozioni internazionali.</w:t>
      </w:r>
    </w:p>
    <w:p w14:paraId="1831574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riferimento al secondo punto si evidenzia che la prestazione INPS può essere fruita anche prima dell’ingresso del minore nel territorio nazionale, per il tempo necessario all’incontro con quest’ultimo ed agli adempimenti burocratici per la pratica di adozione.</w:t>
      </w:r>
    </w:p>
    <w:p w14:paraId="37EEBC0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certezza sulle tempistiche appena citate è fornita dall’ente incaricato di occuparsi della procedura di adozione. Lo stesso dovrà certificare:</w:t>
      </w:r>
    </w:p>
    <w:p w14:paraId="5CB11676" w14:textId="77777777" w:rsidR="002558B3" w:rsidRPr="00CC00D4" w:rsidRDefault="002558B3">
      <w:pPr>
        <w:pStyle w:val="Paragrafoelenco"/>
        <w:numPr>
          <w:ilvl w:val="0"/>
          <w:numId w:val="145"/>
        </w:numPr>
        <w:autoSpaceDN w:val="0"/>
        <w:ind w:left="709" w:hanging="357"/>
        <w:contextualSpacing/>
        <w:textAlignment w:val="baseline"/>
        <w:rPr>
          <w:rFonts w:cs="Tahoma"/>
          <w:szCs w:val="20"/>
        </w:rPr>
      </w:pPr>
      <w:r w:rsidRPr="00CC00D4">
        <w:rPr>
          <w:rFonts w:cs="Tahoma"/>
          <w:szCs w:val="20"/>
        </w:rPr>
        <w:t>Il periodo di permanenza all’estero dei soggetti interessati;</w:t>
      </w:r>
    </w:p>
    <w:p w14:paraId="10B7A19C" w14:textId="77777777" w:rsidR="002558B3" w:rsidRPr="00CC00D4" w:rsidRDefault="002558B3">
      <w:pPr>
        <w:pStyle w:val="Paragrafoelenco"/>
        <w:numPr>
          <w:ilvl w:val="0"/>
          <w:numId w:val="145"/>
        </w:numPr>
        <w:autoSpaceDN w:val="0"/>
        <w:ind w:left="709" w:hanging="357"/>
        <w:contextualSpacing/>
        <w:textAlignment w:val="baseline"/>
        <w:rPr>
          <w:rFonts w:cs="Tahoma"/>
          <w:szCs w:val="20"/>
        </w:rPr>
      </w:pPr>
      <w:r w:rsidRPr="00CC00D4">
        <w:rPr>
          <w:rFonts w:cs="Tahoma"/>
          <w:szCs w:val="20"/>
        </w:rPr>
        <w:t>La data di ingresso del minore in Italia;</w:t>
      </w:r>
    </w:p>
    <w:p w14:paraId="6FBF90FF" w14:textId="77777777" w:rsidR="002558B3" w:rsidRPr="00CC00D4" w:rsidRDefault="002558B3">
      <w:pPr>
        <w:pStyle w:val="Paragrafoelenco"/>
        <w:numPr>
          <w:ilvl w:val="0"/>
          <w:numId w:val="145"/>
        </w:numPr>
        <w:autoSpaceDN w:val="0"/>
        <w:ind w:left="709"/>
        <w:textAlignment w:val="baseline"/>
        <w:rPr>
          <w:rFonts w:cs="Tahoma"/>
          <w:szCs w:val="20"/>
        </w:rPr>
      </w:pPr>
      <w:r w:rsidRPr="00CC00D4">
        <w:rPr>
          <w:rFonts w:cs="Tahoma"/>
          <w:szCs w:val="20"/>
        </w:rPr>
        <w:t>La data di avvio delle procedure di conferma della validità dell’adozione ovvero del riconoscimento dell’affidamento preadottivo presso il tribunale italiano.</w:t>
      </w:r>
    </w:p>
    <w:p w14:paraId="232A70BD"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E33BDEE" w14:textId="34FEBDF6" w:rsidR="002558B3" w:rsidRPr="00CC00D4" w:rsidRDefault="002558B3" w:rsidP="00F14C98">
      <w:pPr>
        <w:pStyle w:val="Titolo3"/>
        <w:rPr>
          <w:u w:val="none"/>
        </w:rPr>
      </w:pPr>
      <w:bookmarkStart w:id="245" w:name="__RefHeading__4500_1479815270"/>
      <w:bookmarkStart w:id="246" w:name="_Toc92386516"/>
      <w:bookmarkStart w:id="247" w:name="_Toc124266285"/>
      <w:r w:rsidRPr="00CC00D4">
        <w:t>4.3.3 Padre</w:t>
      </w:r>
      <w:bookmarkEnd w:id="245"/>
      <w:bookmarkEnd w:id="246"/>
      <w:bookmarkEnd w:id="247"/>
    </w:p>
    <w:p w14:paraId="120A20F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padre iscritto in via esclusiva alla Gestione Separata INPS ha diritto alla prestazione per i tre mesi successivi al parto ovvero per il periodo residuo che sarebbe spettato alla madre.</w:t>
      </w:r>
    </w:p>
    <w:p w14:paraId="299E69F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Gli eventi che trasferiscono la titolarità del sussidio al padre sono:</w:t>
      </w:r>
    </w:p>
    <w:p w14:paraId="3D54B75F" w14:textId="77777777" w:rsidR="002558B3" w:rsidRPr="00CC00D4" w:rsidRDefault="002558B3">
      <w:pPr>
        <w:pStyle w:val="Paragrafoelenco"/>
        <w:numPr>
          <w:ilvl w:val="0"/>
          <w:numId w:val="143"/>
        </w:numPr>
        <w:autoSpaceDN w:val="0"/>
        <w:ind w:left="709" w:hanging="357"/>
        <w:contextualSpacing/>
        <w:textAlignment w:val="baseline"/>
        <w:rPr>
          <w:rFonts w:cs="Tahoma"/>
          <w:szCs w:val="20"/>
        </w:rPr>
      </w:pPr>
      <w:r w:rsidRPr="00CC00D4">
        <w:rPr>
          <w:rFonts w:cs="Tahoma"/>
          <w:szCs w:val="20"/>
        </w:rPr>
        <w:t>Morte o grave infermità della madre;</w:t>
      </w:r>
    </w:p>
    <w:p w14:paraId="760B94A5" w14:textId="77777777" w:rsidR="002558B3" w:rsidRPr="00CC00D4" w:rsidRDefault="002558B3">
      <w:pPr>
        <w:pStyle w:val="Paragrafoelenco"/>
        <w:numPr>
          <w:ilvl w:val="0"/>
          <w:numId w:val="143"/>
        </w:numPr>
        <w:autoSpaceDN w:val="0"/>
        <w:ind w:left="709" w:hanging="357"/>
        <w:contextualSpacing/>
        <w:textAlignment w:val="baseline"/>
        <w:rPr>
          <w:rFonts w:cs="Tahoma"/>
          <w:szCs w:val="20"/>
        </w:rPr>
      </w:pPr>
      <w:r w:rsidRPr="00CC00D4">
        <w:rPr>
          <w:rFonts w:cs="Tahoma"/>
          <w:szCs w:val="20"/>
        </w:rPr>
        <w:t>Abbandono del figlio da parte della madre;</w:t>
      </w:r>
    </w:p>
    <w:p w14:paraId="355275AE" w14:textId="77777777" w:rsidR="002558B3" w:rsidRPr="00CC00D4" w:rsidRDefault="002558B3">
      <w:pPr>
        <w:pStyle w:val="Paragrafoelenco"/>
        <w:numPr>
          <w:ilvl w:val="0"/>
          <w:numId w:val="143"/>
        </w:numPr>
        <w:autoSpaceDN w:val="0"/>
        <w:ind w:left="709"/>
        <w:textAlignment w:val="baseline"/>
        <w:rPr>
          <w:rFonts w:cs="Tahoma"/>
          <w:szCs w:val="20"/>
        </w:rPr>
      </w:pPr>
      <w:r w:rsidRPr="00CC00D4">
        <w:rPr>
          <w:rFonts w:cs="Tahoma"/>
          <w:szCs w:val="20"/>
        </w:rPr>
        <w:t>Affidamento esclusivo del figlio al solo padre.</w:t>
      </w:r>
    </w:p>
    <w:p w14:paraId="377951E1" w14:textId="77777777" w:rsidR="002558B3" w:rsidRPr="00CC00D4" w:rsidRDefault="002558B3" w:rsidP="002558B3">
      <w:pPr>
        <w:pStyle w:val="Standard"/>
        <w:spacing w:after="200" w:line="360" w:lineRule="auto"/>
        <w:jc w:val="both"/>
        <w:rPr>
          <w:rFonts w:ascii="Tahoma" w:hAnsi="Tahoma" w:cs="Tahoma"/>
          <w:kern w:val="0"/>
          <w:sz w:val="20"/>
          <w:szCs w:val="20"/>
        </w:rPr>
      </w:pPr>
    </w:p>
    <w:p w14:paraId="4446EB05" w14:textId="0A355229" w:rsidR="002558B3" w:rsidRPr="00CC00D4" w:rsidRDefault="002558B3" w:rsidP="00F14C98">
      <w:pPr>
        <w:pStyle w:val="Titolo3"/>
      </w:pPr>
      <w:bookmarkStart w:id="248" w:name="__RefHeading__4502_1479815270"/>
      <w:bookmarkStart w:id="249" w:name="_Toc92386517"/>
      <w:bookmarkStart w:id="250" w:name="_Toc124266286"/>
      <w:r w:rsidRPr="00CC00D4">
        <w:t>4.3.4 Requisiti</w:t>
      </w:r>
      <w:bookmarkEnd w:id="248"/>
      <w:bookmarkEnd w:id="249"/>
      <w:bookmarkEnd w:id="250"/>
    </w:p>
    <w:p w14:paraId="6FB3073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madre ha diritto all’indennità INPS alle seguenti condizioni:</w:t>
      </w:r>
    </w:p>
    <w:p w14:paraId="4227BD9D" w14:textId="77777777" w:rsidR="002558B3" w:rsidRPr="00CC00D4" w:rsidRDefault="002558B3">
      <w:pPr>
        <w:pStyle w:val="Paragrafoelenco"/>
        <w:numPr>
          <w:ilvl w:val="0"/>
          <w:numId w:val="144"/>
        </w:numPr>
        <w:autoSpaceDN w:val="0"/>
        <w:ind w:left="709" w:hanging="357"/>
        <w:contextualSpacing/>
        <w:textAlignment w:val="baseline"/>
        <w:rPr>
          <w:rFonts w:cs="Tahoma"/>
          <w:szCs w:val="20"/>
        </w:rPr>
      </w:pPr>
      <w:r w:rsidRPr="00CC00D4">
        <w:rPr>
          <w:rFonts w:cs="Tahoma"/>
          <w:szCs w:val="20"/>
        </w:rPr>
        <w:t>Iscrizione in via esclusiva alla Gestione Separata;</w:t>
      </w:r>
    </w:p>
    <w:p w14:paraId="09A20F93" w14:textId="77777777" w:rsidR="002558B3" w:rsidRPr="00CC00D4" w:rsidRDefault="002558B3">
      <w:pPr>
        <w:pStyle w:val="Paragrafoelenco"/>
        <w:numPr>
          <w:ilvl w:val="0"/>
          <w:numId w:val="144"/>
        </w:numPr>
        <w:autoSpaceDN w:val="0"/>
        <w:ind w:left="709"/>
        <w:textAlignment w:val="baseline"/>
        <w:rPr>
          <w:rFonts w:cs="Tahoma"/>
          <w:szCs w:val="20"/>
        </w:rPr>
      </w:pPr>
      <w:r w:rsidRPr="00CC00D4">
        <w:rPr>
          <w:rFonts w:cs="Tahoma"/>
          <w:szCs w:val="20"/>
        </w:rPr>
        <w:t>Almeno un mese di versamento dell’aliquota pari allo 0,72% alla Gestione Separata nei dodici mesi che precedono i due anteriori al parto.</w:t>
      </w:r>
    </w:p>
    <w:p w14:paraId="293C1E3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Si ricorda che il contributo dello 0,72% è previsto a finanziamento delle prestazioni temporanee di sostegno al reddito, quali appunto maternità, malattia ed ANF.</w:t>
      </w:r>
    </w:p>
    <w:p w14:paraId="02601D71"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C563C6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il padre lavoratore autonomo occasionale valgono gli stessi requisiti descritti per la madre, oltre al verificarsi degli eventi sopra citati (morte / grave infermità della madre, abbandono del figlio da parte della madre o affidamento esclusivo al padre).</w:t>
      </w:r>
    </w:p>
    <w:p w14:paraId="53576E9E"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C3B8D45" w14:textId="3D287E6A" w:rsidR="002558B3" w:rsidRPr="00CC00D4" w:rsidRDefault="002558B3" w:rsidP="00F14C98">
      <w:pPr>
        <w:pStyle w:val="Titolo3"/>
      </w:pPr>
      <w:bookmarkStart w:id="251" w:name="__RefHeading__4504_1479815270"/>
      <w:bookmarkStart w:id="252" w:name="_Toc92386518"/>
      <w:bookmarkStart w:id="253" w:name="_Toc124266287"/>
      <w:r w:rsidRPr="00CC00D4">
        <w:t>4.3.5 Domanda</w:t>
      </w:r>
      <w:bookmarkEnd w:id="251"/>
      <w:bookmarkEnd w:id="252"/>
      <w:bookmarkEnd w:id="253"/>
    </w:p>
    <w:p w14:paraId="73A7832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diritto alla prestazione di maternità è subordinato all’inoltro di apposita domanda telematica, inviata collegandosi al portale “</w:t>
      </w:r>
      <w:r w:rsidRPr="00CC00D4">
        <w:rPr>
          <w:rFonts w:ascii="Tahoma" w:hAnsi="Tahoma" w:cs="Tahoma"/>
          <w:i/>
          <w:kern w:val="0"/>
          <w:sz w:val="20"/>
          <w:szCs w:val="20"/>
        </w:rPr>
        <w:t>inps.it – Prestazioni e Servizi – Indennità per congedo di maternità / paternità per lavoratrici e lavoratori dipendenti e per iscritti alla Gestione Separata</w:t>
      </w:r>
      <w:r w:rsidRPr="00CC00D4">
        <w:rPr>
          <w:rFonts w:ascii="Tahoma" w:hAnsi="Tahoma" w:cs="Tahoma"/>
          <w:kern w:val="0"/>
          <w:sz w:val="20"/>
          <w:szCs w:val="20"/>
        </w:rPr>
        <w:t>”, per gli utenti in possesso delle credenziali SPID, CIE o CNS.</w:t>
      </w:r>
    </w:p>
    <w:p w14:paraId="7C5F6F5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In alternativa, l’istanza può essere </w:t>
      </w:r>
      <w:r w:rsidR="00F32F1F" w:rsidRPr="00CC00D4">
        <w:rPr>
          <w:rFonts w:ascii="Tahoma" w:hAnsi="Tahoma" w:cs="Tahoma"/>
          <w:kern w:val="0"/>
          <w:sz w:val="20"/>
          <w:szCs w:val="20"/>
        </w:rPr>
        <w:t>trasmessa</w:t>
      </w:r>
      <w:r w:rsidRPr="00CC00D4">
        <w:rPr>
          <w:rFonts w:ascii="Tahoma" w:hAnsi="Tahoma" w:cs="Tahoma"/>
          <w:kern w:val="0"/>
          <w:sz w:val="20"/>
          <w:szCs w:val="20"/>
        </w:rPr>
        <w:t>:</w:t>
      </w:r>
    </w:p>
    <w:p w14:paraId="74406141" w14:textId="77777777" w:rsidR="002558B3" w:rsidRPr="00CC00D4" w:rsidRDefault="002558B3">
      <w:pPr>
        <w:pStyle w:val="Paragrafoelenco"/>
        <w:numPr>
          <w:ilvl w:val="0"/>
          <w:numId w:val="142"/>
        </w:numPr>
        <w:autoSpaceDN w:val="0"/>
        <w:ind w:left="709" w:hanging="357"/>
        <w:contextualSpacing/>
        <w:textAlignment w:val="baseline"/>
        <w:rPr>
          <w:rFonts w:cs="Tahoma"/>
          <w:szCs w:val="20"/>
        </w:rPr>
      </w:pPr>
      <w:r w:rsidRPr="00CC00D4">
        <w:rPr>
          <w:rFonts w:cs="Tahoma"/>
          <w:szCs w:val="20"/>
        </w:rPr>
        <w:t>Chiamando il Contact center INPS all’803.164 (da rete fissa) ovvero lo 06.164.164 da rete mobile;</w:t>
      </w:r>
    </w:p>
    <w:p w14:paraId="64E00168" w14:textId="77777777" w:rsidR="002558B3" w:rsidRPr="00CC00D4" w:rsidRDefault="002558B3">
      <w:pPr>
        <w:pStyle w:val="Paragrafoelenco"/>
        <w:numPr>
          <w:ilvl w:val="0"/>
          <w:numId w:val="142"/>
        </w:numPr>
        <w:autoSpaceDN w:val="0"/>
        <w:ind w:left="709"/>
        <w:textAlignment w:val="baseline"/>
        <w:rPr>
          <w:rFonts w:cs="Tahoma"/>
          <w:szCs w:val="20"/>
        </w:rPr>
      </w:pPr>
      <w:r w:rsidRPr="00CC00D4">
        <w:rPr>
          <w:rFonts w:cs="Tahoma"/>
          <w:szCs w:val="20"/>
        </w:rPr>
        <w:t>Avvalendosi dei servizi offerti dagli enti di patronato.</w:t>
      </w:r>
    </w:p>
    <w:p w14:paraId="00A2EA4C"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bookmarkStart w:id="254" w:name="_Toc92386519"/>
    </w:p>
    <w:p w14:paraId="291D1066" w14:textId="77777777" w:rsidR="009C11E3" w:rsidRPr="00CC00D4" w:rsidRDefault="009C11E3">
      <w:pPr>
        <w:suppressAutoHyphens w:val="0"/>
        <w:spacing w:after="0" w:line="240" w:lineRule="auto"/>
        <w:jc w:val="left"/>
        <w:rPr>
          <w:rFonts w:cs="Tahoma"/>
          <w:bCs/>
          <w:i/>
          <w:color w:val="000000"/>
          <w:sz w:val="22"/>
          <w:u w:val="single"/>
        </w:rPr>
      </w:pPr>
      <w:bookmarkStart w:id="255" w:name="__RefHeading__4506_1479815270"/>
      <w:r w:rsidRPr="00CC00D4">
        <w:br w:type="page"/>
      </w:r>
    </w:p>
    <w:p w14:paraId="05030E39" w14:textId="25DF66F7" w:rsidR="002558B3" w:rsidRPr="00CC00D4" w:rsidRDefault="002558B3" w:rsidP="00F14C98">
      <w:pPr>
        <w:pStyle w:val="Titolo3"/>
      </w:pPr>
      <w:bookmarkStart w:id="256" w:name="_Toc124266288"/>
      <w:r w:rsidRPr="00CC00D4">
        <w:lastRenderedPageBreak/>
        <w:t>4.3.6 Scadenze</w:t>
      </w:r>
      <w:bookmarkEnd w:id="254"/>
      <w:bookmarkEnd w:id="255"/>
      <w:bookmarkEnd w:id="256"/>
    </w:p>
    <w:p w14:paraId="6145656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domanda all’INPS dev’essere inviata entro i due mesi antecedenti la data presunta del parto e comunque nel rispetto del termine prescrizionale di un anno dalla fine del periodo indennizzabile.</w:t>
      </w:r>
    </w:p>
    <w:p w14:paraId="3E508E80"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w:t>
      </w:r>
      <w:r w:rsidR="002558B3" w:rsidRPr="00CC00D4">
        <w:rPr>
          <w:rFonts w:ascii="Tahoma" w:hAnsi="Tahoma" w:cs="Tahoma"/>
          <w:bCs/>
          <w:kern w:val="0"/>
          <w:sz w:val="20"/>
          <w:szCs w:val="20"/>
        </w:rPr>
        <w:t xml:space="preserve"> fatto altresì obbligo alla lavoratrice di:</w:t>
      </w:r>
    </w:p>
    <w:p w14:paraId="337789CF" w14:textId="77777777" w:rsidR="002558B3" w:rsidRPr="00CC00D4" w:rsidRDefault="002558B3">
      <w:pPr>
        <w:pStyle w:val="Paragrafoelenco"/>
        <w:numPr>
          <w:ilvl w:val="0"/>
          <w:numId w:val="141"/>
        </w:numPr>
        <w:autoSpaceDN w:val="0"/>
        <w:ind w:left="709" w:hanging="357"/>
        <w:contextualSpacing/>
        <w:textAlignment w:val="baseline"/>
        <w:rPr>
          <w:rFonts w:cs="Tahoma"/>
          <w:szCs w:val="20"/>
        </w:rPr>
      </w:pPr>
      <w:r w:rsidRPr="00CC00D4">
        <w:rPr>
          <w:rFonts w:cs="Tahoma"/>
          <w:bCs/>
          <w:szCs w:val="20"/>
        </w:rPr>
        <w:t>Trasmettere all’INPS, prima del periodo interessato dal congedo di maternità, il certificato medico di gravidanza per il tramite di un medico del Servizio Sanitario Nazionale o con esso convenzionato;</w:t>
      </w:r>
    </w:p>
    <w:p w14:paraId="0BEEA4B7" w14:textId="77777777" w:rsidR="002558B3" w:rsidRPr="00CC00D4" w:rsidRDefault="002558B3">
      <w:pPr>
        <w:pStyle w:val="Paragrafoelenco"/>
        <w:numPr>
          <w:ilvl w:val="0"/>
          <w:numId w:val="141"/>
        </w:numPr>
        <w:autoSpaceDN w:val="0"/>
        <w:ind w:left="709"/>
        <w:textAlignment w:val="baseline"/>
        <w:rPr>
          <w:rFonts w:cs="Tahoma"/>
          <w:szCs w:val="20"/>
        </w:rPr>
      </w:pPr>
      <w:r w:rsidRPr="00CC00D4">
        <w:rPr>
          <w:rFonts w:cs="Tahoma"/>
          <w:bCs/>
          <w:szCs w:val="20"/>
        </w:rPr>
        <w:t>Comunicare all’INPS la data di nascita del figlio e le relative generalità entro trenta giorni dal parto.</w:t>
      </w:r>
    </w:p>
    <w:p w14:paraId="5D31C424"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593E73BD" w14:textId="65D554F5" w:rsidR="002558B3" w:rsidRPr="00CC00D4" w:rsidRDefault="002558B3" w:rsidP="00F14C98">
      <w:pPr>
        <w:pStyle w:val="Titolo3"/>
      </w:pPr>
      <w:bookmarkStart w:id="257" w:name="__RefHeading__4508_1479815270"/>
      <w:bookmarkStart w:id="258" w:name="_Toc92386520"/>
      <w:bookmarkStart w:id="259" w:name="_Toc124266289"/>
      <w:r w:rsidRPr="00CC00D4">
        <w:t>4.3.7 Importo</w:t>
      </w:r>
      <w:bookmarkEnd w:id="257"/>
      <w:bookmarkEnd w:id="258"/>
      <w:bookmarkEnd w:id="259"/>
    </w:p>
    <w:p w14:paraId="4BEB119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L’indennità giornaliera INPS è calcolata in misura pari all’80% di 1/365 del reddito:</w:t>
      </w:r>
    </w:p>
    <w:p w14:paraId="140FD330" w14:textId="77777777" w:rsidR="002558B3" w:rsidRPr="00CC00D4" w:rsidRDefault="002558B3">
      <w:pPr>
        <w:pStyle w:val="Paragrafoelenco"/>
        <w:numPr>
          <w:ilvl w:val="0"/>
          <w:numId w:val="140"/>
        </w:numPr>
        <w:autoSpaceDN w:val="0"/>
        <w:ind w:left="709" w:hanging="357"/>
        <w:contextualSpacing/>
        <w:textAlignment w:val="baseline"/>
        <w:rPr>
          <w:rFonts w:cs="Tahoma"/>
          <w:szCs w:val="20"/>
        </w:rPr>
      </w:pPr>
      <w:r w:rsidRPr="00CC00D4">
        <w:rPr>
          <w:rFonts w:cs="Tahoma"/>
          <w:bCs/>
          <w:szCs w:val="20"/>
        </w:rPr>
        <w:t>Imponibile ai fini contributivi e soggetto ai massimali / minimali contributivi;</w:t>
      </w:r>
    </w:p>
    <w:p w14:paraId="3E25846C" w14:textId="77777777" w:rsidR="002558B3" w:rsidRPr="00CC00D4" w:rsidRDefault="002558B3">
      <w:pPr>
        <w:pStyle w:val="Paragrafoelenco"/>
        <w:numPr>
          <w:ilvl w:val="0"/>
          <w:numId w:val="140"/>
        </w:numPr>
        <w:autoSpaceDN w:val="0"/>
        <w:ind w:left="709"/>
        <w:textAlignment w:val="baseline"/>
        <w:rPr>
          <w:rFonts w:cs="Tahoma"/>
          <w:szCs w:val="20"/>
        </w:rPr>
      </w:pPr>
      <w:r w:rsidRPr="00CC00D4">
        <w:rPr>
          <w:rFonts w:cs="Tahoma"/>
          <w:bCs/>
          <w:szCs w:val="20"/>
        </w:rPr>
        <w:t>Risultante dai versamenti F24 effettuati;</w:t>
      </w:r>
    </w:p>
    <w:p w14:paraId="4055EE9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ed altresì percepito a seguito di attività di collaborazione coordinata e continuativa o libero professionale:</w:t>
      </w:r>
    </w:p>
    <w:p w14:paraId="3BAFCC89" w14:textId="77777777" w:rsidR="002558B3" w:rsidRPr="00CC00D4" w:rsidRDefault="002558B3">
      <w:pPr>
        <w:pStyle w:val="Paragrafoelenco"/>
        <w:numPr>
          <w:ilvl w:val="0"/>
          <w:numId w:val="139"/>
        </w:numPr>
        <w:autoSpaceDN w:val="0"/>
        <w:ind w:left="709" w:hanging="357"/>
        <w:contextualSpacing/>
        <w:textAlignment w:val="baseline"/>
        <w:rPr>
          <w:rFonts w:cs="Tahoma"/>
          <w:szCs w:val="20"/>
        </w:rPr>
      </w:pPr>
      <w:r w:rsidRPr="00CC00D4">
        <w:rPr>
          <w:rFonts w:cs="Tahoma"/>
          <w:bCs/>
          <w:szCs w:val="20"/>
        </w:rPr>
        <w:t>Nei dodici mesi “solari” precedenti l’inizio del periodo indennizzabile, nel caso in cui l’anzianità assicurativa sia pari o superiore a dodici mesi;</w:t>
      </w:r>
    </w:p>
    <w:p w14:paraId="624672E4" w14:textId="77777777" w:rsidR="002558B3" w:rsidRPr="00CC00D4" w:rsidRDefault="002558B3">
      <w:pPr>
        <w:pStyle w:val="Paragrafoelenco"/>
        <w:numPr>
          <w:ilvl w:val="0"/>
          <w:numId w:val="139"/>
        </w:numPr>
        <w:autoSpaceDN w:val="0"/>
        <w:ind w:left="709"/>
        <w:textAlignment w:val="baseline"/>
        <w:rPr>
          <w:rFonts w:cs="Tahoma"/>
          <w:szCs w:val="20"/>
        </w:rPr>
      </w:pPr>
      <w:r w:rsidRPr="00CC00D4">
        <w:rPr>
          <w:rFonts w:cs="Tahoma"/>
          <w:bCs/>
          <w:szCs w:val="20"/>
        </w:rPr>
        <w:t xml:space="preserve">Per un numero di mesi inferiore a dodici, qualora l’anzianità assicurativa sia inferiore all’anno.  </w:t>
      </w:r>
    </w:p>
    <w:p w14:paraId="43B28DD6" w14:textId="77777777" w:rsidR="002411E3" w:rsidRPr="00CC00D4" w:rsidRDefault="002411E3" w:rsidP="00130676">
      <w:pPr>
        <w:pStyle w:val="Citazione"/>
      </w:pPr>
      <w:bookmarkStart w:id="260" w:name="__RefHeading__4510_1479815270"/>
      <w:bookmarkStart w:id="261" w:name="_Toc92386521"/>
    </w:p>
    <w:p w14:paraId="33F831FF" w14:textId="1A2D795F" w:rsidR="002558B3" w:rsidRPr="00CC00D4" w:rsidRDefault="002558B3" w:rsidP="00F14C98">
      <w:pPr>
        <w:pStyle w:val="Titolo3"/>
      </w:pPr>
      <w:bookmarkStart w:id="262" w:name="_Toc124266290"/>
      <w:r w:rsidRPr="00CC00D4">
        <w:t>4.3.8 Differimento</w:t>
      </w:r>
      <w:bookmarkEnd w:id="260"/>
      <w:bookmarkEnd w:id="261"/>
      <w:bookmarkEnd w:id="262"/>
    </w:p>
    <w:p w14:paraId="53A2C2A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Fermo restando il periodo complessivo del congedo pari a cinque mesi, la lavoratrice può differire la decorrenza dell’astensione pre-parto.</w:t>
      </w:r>
    </w:p>
    <w:p w14:paraId="2612514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L’assenza non potrà comunque essere inferiore ad un mese prima dell’evento. Di conseguenza, le giornate non fruite, comprese tra un giorno ed il tetto massimo di un mese, potranno essere posticipate al periodo successivo al parto.</w:t>
      </w:r>
    </w:p>
    <w:p w14:paraId="27C56EC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accedere alla flessibilità è necessario che il medico specialista del Servizio sanitario nazionale attesti, nel corso del settimo mese di gravidanza, che la scelta di differire l’assenza non arreca danno alla salute della lavoratrice né a quella del nascituro.</w:t>
      </w:r>
    </w:p>
    <w:p w14:paraId="5C38B66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Nei confronti di coloro che sono soggetti a sorveglianza sanitaria, oltre al certificato del medico specialista </w:t>
      </w:r>
      <w:r w:rsidRPr="00CC00D4">
        <w:rPr>
          <w:rFonts w:ascii="Tahoma" w:hAnsi="Tahoma" w:cs="Tahoma"/>
          <w:kern w:val="0"/>
          <w:sz w:val="20"/>
          <w:szCs w:val="20"/>
        </w:rPr>
        <w:lastRenderedPageBreak/>
        <w:t>(ginecologo) del Servizio sanitario nazionale, il medico competente sarà tenuto a certificare l’assenza di pregiudizi alla salute della lavoratrice e del nascituro, derivante da:</w:t>
      </w:r>
    </w:p>
    <w:p w14:paraId="06BA0734" w14:textId="77777777" w:rsidR="002558B3" w:rsidRPr="00CC00D4" w:rsidRDefault="002558B3">
      <w:pPr>
        <w:pStyle w:val="Paragrafoelenco"/>
        <w:numPr>
          <w:ilvl w:val="0"/>
          <w:numId w:val="138"/>
        </w:numPr>
        <w:autoSpaceDN w:val="0"/>
        <w:ind w:left="709" w:hanging="357"/>
        <w:contextualSpacing/>
        <w:textAlignment w:val="baseline"/>
        <w:rPr>
          <w:rFonts w:cs="Tahoma"/>
          <w:szCs w:val="20"/>
        </w:rPr>
      </w:pPr>
      <w:r w:rsidRPr="00CC00D4">
        <w:rPr>
          <w:rFonts w:cs="Tahoma"/>
          <w:szCs w:val="20"/>
        </w:rPr>
        <w:t>Mansioni svolte;</w:t>
      </w:r>
    </w:p>
    <w:p w14:paraId="29B30672" w14:textId="77777777" w:rsidR="002558B3" w:rsidRPr="00CC00D4" w:rsidRDefault="002558B3">
      <w:pPr>
        <w:pStyle w:val="Paragrafoelenco"/>
        <w:numPr>
          <w:ilvl w:val="0"/>
          <w:numId w:val="138"/>
        </w:numPr>
        <w:autoSpaceDN w:val="0"/>
        <w:ind w:left="709" w:hanging="357"/>
        <w:contextualSpacing/>
        <w:textAlignment w:val="baseline"/>
        <w:rPr>
          <w:rFonts w:cs="Tahoma"/>
          <w:szCs w:val="20"/>
        </w:rPr>
      </w:pPr>
      <w:r w:rsidRPr="00CC00D4">
        <w:rPr>
          <w:rFonts w:cs="Tahoma"/>
          <w:szCs w:val="20"/>
        </w:rPr>
        <w:t>Ambiente di lavoro;</w:t>
      </w:r>
    </w:p>
    <w:p w14:paraId="540B11DD" w14:textId="77777777" w:rsidR="002558B3" w:rsidRPr="00CC00D4" w:rsidRDefault="002558B3">
      <w:pPr>
        <w:pStyle w:val="Paragrafoelenco"/>
        <w:numPr>
          <w:ilvl w:val="0"/>
          <w:numId w:val="138"/>
        </w:numPr>
        <w:autoSpaceDN w:val="0"/>
        <w:ind w:left="709"/>
        <w:textAlignment w:val="baseline"/>
        <w:rPr>
          <w:rFonts w:cs="Tahoma"/>
          <w:szCs w:val="20"/>
        </w:rPr>
      </w:pPr>
      <w:r w:rsidRPr="00CC00D4">
        <w:rPr>
          <w:rFonts w:cs="Tahoma"/>
          <w:szCs w:val="20"/>
        </w:rPr>
        <w:t>Articolazione dell’orario di lavoro.</w:t>
      </w:r>
    </w:p>
    <w:p w14:paraId="47B92BF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documentazione sanitaria sarà poi allegata in sede di richiesta di differimento da presentare al committente.</w:t>
      </w:r>
    </w:p>
    <w:p w14:paraId="25D7A28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All’INPS si dovrà solo comunicare la scelta di avvalersi della flessibilità.</w:t>
      </w:r>
    </w:p>
    <w:p w14:paraId="5C82F70C"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274C77AE" w14:textId="11759C5A" w:rsidR="002558B3" w:rsidRPr="00CC00D4" w:rsidRDefault="002558B3" w:rsidP="00F14C98">
      <w:pPr>
        <w:pStyle w:val="Titolo3"/>
        <w:rPr>
          <w:u w:val="none"/>
        </w:rPr>
      </w:pPr>
      <w:bookmarkStart w:id="263" w:name="__RefHeading__4512_1479815270"/>
      <w:bookmarkStart w:id="264" w:name="_Toc92386522"/>
      <w:bookmarkStart w:id="265" w:name="_Toc124266291"/>
      <w:r w:rsidRPr="00CC00D4">
        <w:t>4.3.9 Posticipo</w:t>
      </w:r>
      <w:bookmarkEnd w:id="263"/>
      <w:bookmarkEnd w:id="264"/>
      <w:bookmarkEnd w:id="265"/>
    </w:p>
    <w:p w14:paraId="3B980C67"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È</w:t>
      </w:r>
      <w:r w:rsidR="002558B3" w:rsidRPr="00CC00D4">
        <w:rPr>
          <w:rFonts w:ascii="Tahoma" w:hAnsi="Tahoma" w:cs="Tahoma"/>
          <w:kern w:val="0"/>
          <w:sz w:val="20"/>
          <w:szCs w:val="20"/>
        </w:rPr>
        <w:t xml:space="preserve"> altresì possibile posticipare l’astensione ai cinque mesi post-parto, a patto, anche in questo caso, che il medico specialista del Servizio sanitario nazionale ed il medico competente, attestino che la scelta dell’interessata non arreca pregiudizio alla stessa e nemmeno al feto.</w:t>
      </w:r>
    </w:p>
    <w:p w14:paraId="53209C1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documentazione sanitaria dovrà essere inoltrata solamente al committente, mentre all’INPS sarà necessario comunicare, entro l’ottavo mese di gravidanza, la volontà di avvalersi dell’astensione posticipata.</w:t>
      </w:r>
    </w:p>
    <w:p w14:paraId="2511F66E"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D279109" w14:textId="735B131B" w:rsidR="002558B3" w:rsidRPr="00CC00D4" w:rsidRDefault="002558B3" w:rsidP="00F14C98">
      <w:pPr>
        <w:pStyle w:val="Titolo3"/>
        <w:rPr>
          <w:u w:val="none"/>
        </w:rPr>
      </w:pPr>
      <w:bookmarkStart w:id="266" w:name="__RefHeading__4514_1479815270"/>
      <w:bookmarkStart w:id="267" w:name="_Toc92386523"/>
      <w:bookmarkStart w:id="268" w:name="_Toc124266292"/>
      <w:r w:rsidRPr="00CC00D4">
        <w:t>4.3.10 Interruzione della gravidanza</w:t>
      </w:r>
      <w:bookmarkEnd w:id="266"/>
      <w:bookmarkEnd w:id="267"/>
      <w:bookmarkEnd w:id="268"/>
    </w:p>
    <w:p w14:paraId="31F3CD2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caso di interruzione della gravidanza:</w:t>
      </w:r>
    </w:p>
    <w:p w14:paraId="7112248F" w14:textId="77777777" w:rsidR="002558B3" w:rsidRPr="00CC00D4" w:rsidRDefault="002558B3">
      <w:pPr>
        <w:pStyle w:val="Paragrafoelenco"/>
        <w:numPr>
          <w:ilvl w:val="0"/>
          <w:numId w:val="137"/>
        </w:numPr>
        <w:autoSpaceDN w:val="0"/>
        <w:ind w:left="709" w:hanging="357"/>
        <w:contextualSpacing/>
        <w:textAlignment w:val="baseline"/>
        <w:rPr>
          <w:rFonts w:cs="Tahoma"/>
          <w:szCs w:val="20"/>
        </w:rPr>
      </w:pPr>
      <w:r w:rsidRPr="00CC00D4">
        <w:rPr>
          <w:rFonts w:cs="Tahoma"/>
          <w:szCs w:val="20"/>
        </w:rPr>
        <w:t>Prima del 180</w:t>
      </w:r>
      <w:r w:rsidR="00F32F1F" w:rsidRPr="00CC00D4">
        <w:rPr>
          <w:rFonts w:cs="Tahoma"/>
          <w:szCs w:val="20"/>
        </w:rPr>
        <w:t>° giorno</w:t>
      </w:r>
      <w:r w:rsidRPr="00CC00D4">
        <w:rPr>
          <w:rFonts w:cs="Tahoma"/>
          <w:szCs w:val="20"/>
        </w:rPr>
        <w:t xml:space="preserve"> dall’inizio della gravidanza l’evento è qualificato come malattia;</w:t>
      </w:r>
    </w:p>
    <w:p w14:paraId="60118885" w14:textId="77777777" w:rsidR="002558B3" w:rsidRPr="00CC00D4" w:rsidRDefault="002558B3">
      <w:pPr>
        <w:pStyle w:val="Paragrafoelenco"/>
        <w:numPr>
          <w:ilvl w:val="0"/>
          <w:numId w:val="137"/>
        </w:numPr>
        <w:autoSpaceDN w:val="0"/>
        <w:ind w:left="709"/>
        <w:textAlignment w:val="baseline"/>
        <w:rPr>
          <w:rFonts w:cs="Tahoma"/>
          <w:szCs w:val="20"/>
        </w:rPr>
      </w:pPr>
      <w:r w:rsidRPr="00CC00D4">
        <w:rPr>
          <w:rFonts w:cs="Tahoma"/>
          <w:szCs w:val="20"/>
        </w:rPr>
        <w:t xml:space="preserve">Dopo il 180º </w:t>
      </w:r>
      <w:r w:rsidR="00F32F1F" w:rsidRPr="00CC00D4">
        <w:rPr>
          <w:rFonts w:cs="Tahoma"/>
          <w:szCs w:val="20"/>
        </w:rPr>
        <w:t xml:space="preserve">giorno </w:t>
      </w:r>
      <w:r w:rsidRPr="00CC00D4">
        <w:rPr>
          <w:rFonts w:cs="Tahoma"/>
          <w:szCs w:val="20"/>
        </w:rPr>
        <w:t>dall’inizio della gestazione l’evento è equiparato al parto e conferisce pertanto il diritto all’indennità pari a cinque mesi.</w:t>
      </w:r>
    </w:p>
    <w:p w14:paraId="1BAF38DA" w14:textId="77777777" w:rsidR="002558B3" w:rsidRPr="00CC00D4" w:rsidRDefault="002558B3" w:rsidP="00130676">
      <w:pPr>
        <w:pStyle w:val="Citazione"/>
      </w:pPr>
    </w:p>
    <w:p w14:paraId="2C24B134" w14:textId="0CC8233B" w:rsidR="002558B3" w:rsidRPr="00CC00D4" w:rsidRDefault="002558B3" w:rsidP="00F14C98">
      <w:pPr>
        <w:pStyle w:val="Titolo3"/>
        <w:rPr>
          <w:u w:val="none"/>
        </w:rPr>
      </w:pPr>
      <w:bookmarkStart w:id="269" w:name="__RefHeading__4516_1479815270"/>
      <w:bookmarkStart w:id="270" w:name="_Toc92386524"/>
      <w:bookmarkStart w:id="271" w:name="_Toc124266293"/>
      <w:r w:rsidRPr="00CC00D4">
        <w:t>4.3.11 Contribuzione figurativa</w:t>
      </w:r>
      <w:bookmarkEnd w:id="269"/>
      <w:bookmarkEnd w:id="270"/>
      <w:bookmarkEnd w:id="271"/>
    </w:p>
    <w:p w14:paraId="16AEDF9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Per i periodi interessati dalla maternità è previsto l’accredito della contribuzione figurativa.  </w:t>
      </w:r>
    </w:p>
    <w:p w14:paraId="4BF01C91" w14:textId="77777777" w:rsidR="009C11E3" w:rsidRPr="00CC00D4" w:rsidRDefault="009C11E3">
      <w:pPr>
        <w:suppressAutoHyphens w:val="0"/>
        <w:spacing w:after="0" w:line="240" w:lineRule="auto"/>
        <w:jc w:val="left"/>
        <w:rPr>
          <w:rFonts w:cs="Tahoma"/>
          <w:bCs/>
          <w:i/>
          <w:color w:val="000000"/>
          <w:sz w:val="22"/>
          <w:u w:val="single"/>
        </w:rPr>
      </w:pPr>
      <w:bookmarkStart w:id="272" w:name="__RefHeading__4518_1479815270"/>
      <w:bookmarkStart w:id="273" w:name="_Toc92386525"/>
      <w:r w:rsidRPr="00CC00D4">
        <w:br w:type="page"/>
      </w:r>
    </w:p>
    <w:p w14:paraId="109C4E29" w14:textId="6ED2DD8F" w:rsidR="002558B3" w:rsidRPr="00CC00D4" w:rsidRDefault="002558B3" w:rsidP="00F14C98">
      <w:pPr>
        <w:pStyle w:val="Titolo3"/>
        <w:rPr>
          <w:u w:val="none"/>
        </w:rPr>
      </w:pPr>
      <w:bookmarkStart w:id="274" w:name="_Toc124266294"/>
      <w:r w:rsidRPr="00CC00D4">
        <w:lastRenderedPageBreak/>
        <w:t>4.3.12 Le novità della Legge di Bilancio 2022</w:t>
      </w:r>
      <w:bookmarkEnd w:id="272"/>
      <w:bookmarkEnd w:id="273"/>
      <w:bookmarkEnd w:id="274"/>
    </w:p>
    <w:p w14:paraId="576F3B2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La </w:t>
      </w:r>
      <w:hyperlink r:id="rId38" w:history="1">
        <w:r w:rsidRPr="00CC00D4">
          <w:rPr>
            <w:rStyle w:val="Collegamentoipertestuale"/>
            <w:rFonts w:ascii="Tahoma" w:hAnsi="Tahoma" w:cs="Tahoma"/>
            <w:kern w:val="0"/>
            <w:sz w:val="20"/>
            <w:szCs w:val="20"/>
          </w:rPr>
          <w:t>Legge 30 dicembre 2021 numero 234</w:t>
        </w:r>
      </w:hyperlink>
      <w:r w:rsidRPr="00CC00D4">
        <w:rPr>
          <w:rFonts w:ascii="Tahoma" w:hAnsi="Tahoma" w:cs="Tahoma"/>
          <w:kern w:val="0"/>
          <w:sz w:val="20"/>
          <w:szCs w:val="20"/>
        </w:rPr>
        <w:t xml:space="preserve"> “</w:t>
      </w:r>
      <w:r w:rsidRPr="00CC00D4">
        <w:rPr>
          <w:rFonts w:ascii="Tahoma" w:hAnsi="Tahoma" w:cs="Tahoma"/>
          <w:i/>
          <w:iCs/>
          <w:kern w:val="0"/>
          <w:sz w:val="20"/>
          <w:szCs w:val="20"/>
        </w:rPr>
        <w:t>Bilancio di previsione dello Stato per l’anno finanziario 2022 e bilancio pluriennale per il triennio 2022-2024</w:t>
      </w:r>
      <w:r w:rsidRPr="00CC00D4">
        <w:rPr>
          <w:rFonts w:ascii="Tahoma" w:hAnsi="Tahoma" w:cs="Tahoma"/>
          <w:kern w:val="0"/>
          <w:sz w:val="20"/>
          <w:szCs w:val="20"/>
        </w:rPr>
        <w:t>” prevede all’articolo 1 comma 239 in favore “</w:t>
      </w:r>
      <w:r w:rsidRPr="00CC00D4">
        <w:rPr>
          <w:rFonts w:ascii="Tahoma" w:hAnsi="Tahoma" w:cs="Tahoma"/>
          <w:i/>
          <w:iCs/>
          <w:kern w:val="0"/>
          <w:sz w:val="20"/>
          <w:szCs w:val="20"/>
        </w:rPr>
        <w:t>delle lavoratrici di cui agli articoli 64, 66 e 70 del testo unico delle disposizioni in materia di tutela e sostegno della maternità e della paternità, di cui al decreto legislativo 26 marzo 2001, n. 151</w:t>
      </w:r>
      <w:r w:rsidRPr="00CC00D4">
        <w:rPr>
          <w:rFonts w:ascii="Tahoma" w:hAnsi="Tahoma" w:cs="Tahoma"/>
          <w:kern w:val="0"/>
          <w:sz w:val="20"/>
          <w:szCs w:val="20"/>
        </w:rPr>
        <w:t>” il riconoscimento dell’indennità economica INPS per “</w:t>
      </w:r>
      <w:r w:rsidRPr="00CC00D4">
        <w:rPr>
          <w:rFonts w:ascii="Tahoma" w:hAnsi="Tahoma" w:cs="Tahoma"/>
          <w:i/>
          <w:iCs/>
          <w:kern w:val="0"/>
          <w:sz w:val="20"/>
          <w:szCs w:val="20"/>
        </w:rPr>
        <w:t>ulteriori tre mesi a decorrere dalla fine del periodo di maternità</w:t>
      </w:r>
      <w:r w:rsidRPr="00CC00D4">
        <w:rPr>
          <w:rFonts w:ascii="Tahoma" w:hAnsi="Tahoma" w:cs="Tahoma"/>
          <w:kern w:val="0"/>
          <w:sz w:val="20"/>
          <w:szCs w:val="20"/>
        </w:rPr>
        <w:t>”.</w:t>
      </w:r>
    </w:p>
    <w:p w14:paraId="613E4E1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periodi aggiuntivi sono riservati a coloro che abbiano dichiarato nell’anno precedente l’inizio della maternità un reddito inferiore a 8.145,00 euro.</w:t>
      </w:r>
    </w:p>
    <w:p w14:paraId="2E45D3C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Interessate dalla misura sono:</w:t>
      </w:r>
    </w:p>
    <w:p w14:paraId="47D9EE21" w14:textId="77777777" w:rsidR="002558B3" w:rsidRPr="00CC00D4" w:rsidRDefault="002558B3">
      <w:pPr>
        <w:pStyle w:val="Paragrafoelenco"/>
        <w:numPr>
          <w:ilvl w:val="0"/>
          <w:numId w:val="136"/>
        </w:numPr>
        <w:autoSpaceDN w:val="0"/>
        <w:ind w:left="709" w:hanging="357"/>
        <w:contextualSpacing/>
        <w:textAlignment w:val="baseline"/>
        <w:rPr>
          <w:rFonts w:cs="Tahoma"/>
          <w:szCs w:val="20"/>
        </w:rPr>
      </w:pPr>
      <w:r w:rsidRPr="00CC00D4">
        <w:rPr>
          <w:rFonts w:cs="Tahoma"/>
          <w:szCs w:val="20"/>
        </w:rPr>
        <w:t>Lavoratrici iscritte alla Gestione Separata INPS (articolo 64 Decreto legislativo 26 marzo 2001 numero 151) tra cui i titolari di rapporti di collaborazione coordinata e continuativa oltre ad incarichi di lavoro autonomo occasionale;</w:t>
      </w:r>
    </w:p>
    <w:p w14:paraId="0E913F5C" w14:textId="77777777" w:rsidR="002558B3" w:rsidRPr="00CC00D4" w:rsidRDefault="002558B3">
      <w:pPr>
        <w:pStyle w:val="Paragrafoelenco"/>
        <w:numPr>
          <w:ilvl w:val="0"/>
          <w:numId w:val="136"/>
        </w:numPr>
        <w:autoSpaceDN w:val="0"/>
        <w:ind w:left="709" w:hanging="357"/>
        <w:contextualSpacing/>
        <w:textAlignment w:val="baseline"/>
        <w:rPr>
          <w:rFonts w:cs="Tahoma"/>
          <w:szCs w:val="20"/>
        </w:rPr>
      </w:pPr>
      <w:r w:rsidRPr="00CC00D4">
        <w:rPr>
          <w:rFonts w:cs="Tahoma"/>
          <w:szCs w:val="20"/>
        </w:rPr>
        <w:t>Lavoratrici iscritte alle Gestioni autonome INPS (articolo 66 D.lgs. n. 151/2001) quali artigiane, commercianti, coltivatrici dirette, colone, mezzadre, imprenditrici agricole professionali nonché pescatrici autonome della piccola pesca marittima e delle acque interne;</w:t>
      </w:r>
    </w:p>
    <w:p w14:paraId="753857F4" w14:textId="77777777" w:rsidR="002558B3" w:rsidRPr="00CC00D4" w:rsidRDefault="002558B3">
      <w:pPr>
        <w:pStyle w:val="Paragrafoelenco"/>
        <w:numPr>
          <w:ilvl w:val="0"/>
          <w:numId w:val="136"/>
        </w:numPr>
        <w:autoSpaceDN w:val="0"/>
        <w:ind w:left="709"/>
        <w:textAlignment w:val="baseline"/>
        <w:rPr>
          <w:rFonts w:cs="Tahoma"/>
          <w:szCs w:val="20"/>
        </w:rPr>
      </w:pPr>
      <w:r w:rsidRPr="00CC00D4">
        <w:rPr>
          <w:rFonts w:cs="Tahoma"/>
          <w:szCs w:val="20"/>
        </w:rPr>
        <w:t>Libere professioniste iscritte alle rispettive Casse di previdenza (articolo 70 D.lgs. n. 151/2001).</w:t>
      </w:r>
    </w:p>
    <w:p w14:paraId="0D9319F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Intervenuta con l’obiettivo di fornire indicazioni amministrative in merito alle novità della Manovra, la </w:t>
      </w:r>
      <w:hyperlink r:id="rId39" w:history="1">
        <w:r w:rsidRPr="00CC00D4">
          <w:rPr>
            <w:rStyle w:val="Collegamentoipertestuale"/>
            <w:rFonts w:ascii="Tahoma" w:hAnsi="Tahoma" w:cs="Tahoma"/>
            <w:kern w:val="0"/>
            <w:sz w:val="20"/>
            <w:szCs w:val="20"/>
          </w:rPr>
          <w:t>Circolare INPS 3 gennaio 2022 numero 1</w:t>
        </w:r>
      </w:hyperlink>
      <w:r w:rsidRPr="00CC00D4">
        <w:rPr>
          <w:rFonts w:ascii="Tahoma" w:hAnsi="Tahoma" w:cs="Tahoma"/>
          <w:kern w:val="0"/>
          <w:sz w:val="20"/>
          <w:szCs w:val="20"/>
        </w:rPr>
        <w:t xml:space="preserve"> ha sottolineato, in merito ai soggetti destinatari della misura, che nonostante la norma menzioni “</w:t>
      </w:r>
      <w:r w:rsidRPr="00CC00D4">
        <w:rPr>
          <w:rFonts w:ascii="Tahoma" w:hAnsi="Tahoma" w:cs="Tahoma"/>
          <w:i/>
          <w:iCs/>
          <w:kern w:val="0"/>
          <w:sz w:val="20"/>
          <w:szCs w:val="20"/>
        </w:rPr>
        <w:t>le sole lavoratrici</w:t>
      </w:r>
      <w:r w:rsidRPr="00CC00D4">
        <w:rPr>
          <w:rFonts w:ascii="Tahoma" w:hAnsi="Tahoma" w:cs="Tahoma"/>
          <w:kern w:val="0"/>
          <w:sz w:val="20"/>
          <w:szCs w:val="20"/>
        </w:rPr>
        <w:t>” la tutela “</w:t>
      </w:r>
      <w:r w:rsidRPr="00CC00D4">
        <w:rPr>
          <w:rFonts w:ascii="Tahoma" w:hAnsi="Tahoma" w:cs="Tahoma"/>
          <w:i/>
          <w:iCs/>
          <w:kern w:val="0"/>
          <w:sz w:val="20"/>
          <w:szCs w:val="20"/>
        </w:rPr>
        <w:t>deve essere riconosciuta anche ai padri lavoratori autonomi o iscritti alla Gestione separata che si trovino nelle condizioni reddituali previste</w:t>
      </w:r>
      <w:r w:rsidRPr="00CC00D4">
        <w:rPr>
          <w:rFonts w:ascii="Tahoma" w:hAnsi="Tahoma" w:cs="Tahoma"/>
          <w:kern w:val="0"/>
          <w:sz w:val="20"/>
          <w:szCs w:val="20"/>
        </w:rPr>
        <w:t>” (reddito inferiore a 8.145 euro).</w:t>
      </w:r>
    </w:p>
    <w:p w14:paraId="5F56CE0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riferimento proprio al requisito economico, l’INPS ha chiarito che deve intendersi il reddito “</w:t>
      </w:r>
      <w:r w:rsidRPr="00CC00D4">
        <w:rPr>
          <w:rFonts w:ascii="Tahoma" w:hAnsi="Tahoma" w:cs="Tahoma"/>
          <w:i/>
          <w:iCs/>
          <w:kern w:val="0"/>
          <w:sz w:val="20"/>
          <w:szCs w:val="20"/>
        </w:rPr>
        <w:t>fiscalmente dichiarato</w:t>
      </w:r>
      <w:r w:rsidRPr="00CC00D4">
        <w:rPr>
          <w:rFonts w:ascii="Tahoma" w:hAnsi="Tahoma" w:cs="Tahoma"/>
          <w:kern w:val="0"/>
          <w:sz w:val="20"/>
          <w:szCs w:val="20"/>
        </w:rPr>
        <w:t>” di competenza dell’anno civile precedente l’inizio della maternità / paternità dal 1° gennaio al 31 dicembre.</w:t>
      </w:r>
    </w:p>
    <w:p w14:paraId="202B959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Ciò che rileva è, di conseguenza, il reddito imponibile ai fini fiscali del beneficiario.</w:t>
      </w:r>
    </w:p>
    <w:p w14:paraId="4316F65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Sempre la Circolare ha sottolineato che l’indennità di maternità / paternità spetta per i tre mesi immediatamente successivi ai:</w:t>
      </w:r>
    </w:p>
    <w:p w14:paraId="62F5F0DA" w14:textId="77777777" w:rsidR="002558B3" w:rsidRPr="00CC00D4" w:rsidRDefault="002558B3">
      <w:pPr>
        <w:pStyle w:val="Paragrafoelenco"/>
        <w:numPr>
          <w:ilvl w:val="0"/>
          <w:numId w:val="135"/>
        </w:numPr>
        <w:autoSpaceDN w:val="0"/>
        <w:ind w:left="709" w:hanging="357"/>
        <w:contextualSpacing/>
        <w:textAlignment w:val="baseline"/>
        <w:rPr>
          <w:rFonts w:cs="Tahoma"/>
          <w:szCs w:val="20"/>
        </w:rPr>
      </w:pPr>
      <w:r w:rsidRPr="00CC00D4">
        <w:rPr>
          <w:rFonts w:cs="Tahoma"/>
          <w:szCs w:val="20"/>
        </w:rPr>
        <w:t>Tre mesi successivi al parto;</w:t>
      </w:r>
    </w:p>
    <w:p w14:paraId="1025B556" w14:textId="77777777" w:rsidR="002558B3" w:rsidRPr="00CC00D4" w:rsidRDefault="002558B3">
      <w:pPr>
        <w:pStyle w:val="Paragrafoelenco"/>
        <w:numPr>
          <w:ilvl w:val="0"/>
          <w:numId w:val="135"/>
        </w:numPr>
        <w:autoSpaceDN w:val="0"/>
        <w:ind w:left="709" w:hanging="357"/>
        <w:contextualSpacing/>
        <w:textAlignment w:val="baseline"/>
        <w:rPr>
          <w:rFonts w:cs="Tahoma"/>
          <w:szCs w:val="20"/>
        </w:rPr>
      </w:pPr>
      <w:r w:rsidRPr="00CC00D4">
        <w:rPr>
          <w:rFonts w:cs="Tahoma"/>
          <w:szCs w:val="20"/>
        </w:rPr>
        <w:t>Quattro mesi successivi al parto “</w:t>
      </w:r>
      <w:r w:rsidRPr="00CC00D4">
        <w:rPr>
          <w:rFonts w:cs="Tahoma"/>
          <w:i/>
          <w:iCs/>
          <w:szCs w:val="20"/>
        </w:rPr>
        <w:t>in caso di flessibilità</w:t>
      </w:r>
      <w:r w:rsidRPr="00CC00D4">
        <w:rPr>
          <w:rFonts w:cs="Tahoma"/>
          <w:szCs w:val="20"/>
        </w:rPr>
        <w:t>”;</w:t>
      </w:r>
    </w:p>
    <w:p w14:paraId="11AA6B6D" w14:textId="77777777" w:rsidR="002558B3" w:rsidRPr="00CC00D4" w:rsidRDefault="002558B3">
      <w:pPr>
        <w:pStyle w:val="Paragrafoelenco"/>
        <w:numPr>
          <w:ilvl w:val="0"/>
          <w:numId w:val="135"/>
        </w:numPr>
        <w:autoSpaceDN w:val="0"/>
        <w:ind w:left="709" w:hanging="357"/>
        <w:contextualSpacing/>
        <w:textAlignment w:val="baseline"/>
        <w:rPr>
          <w:rFonts w:cs="Tahoma"/>
          <w:szCs w:val="20"/>
        </w:rPr>
      </w:pPr>
      <w:r w:rsidRPr="00CC00D4">
        <w:rPr>
          <w:rFonts w:cs="Tahoma"/>
          <w:szCs w:val="20"/>
        </w:rPr>
        <w:t>Cinque mesi successivi al parto “</w:t>
      </w:r>
      <w:r w:rsidRPr="00CC00D4">
        <w:rPr>
          <w:rFonts w:cs="Tahoma"/>
          <w:i/>
          <w:iCs/>
          <w:szCs w:val="20"/>
        </w:rPr>
        <w:t>in caso di fruizione esclusiva dopo il parto</w:t>
      </w:r>
      <w:r w:rsidRPr="00CC00D4">
        <w:rPr>
          <w:rFonts w:cs="Tahoma"/>
          <w:szCs w:val="20"/>
        </w:rPr>
        <w:t>”;</w:t>
      </w:r>
    </w:p>
    <w:p w14:paraId="51E7FD81" w14:textId="77777777" w:rsidR="002558B3" w:rsidRPr="00CC00D4" w:rsidRDefault="002558B3">
      <w:pPr>
        <w:pStyle w:val="Paragrafoelenco"/>
        <w:numPr>
          <w:ilvl w:val="0"/>
          <w:numId w:val="135"/>
        </w:numPr>
        <w:autoSpaceDN w:val="0"/>
        <w:ind w:left="709" w:hanging="357"/>
        <w:contextualSpacing/>
        <w:textAlignment w:val="baseline"/>
        <w:rPr>
          <w:rFonts w:cs="Tahoma"/>
          <w:szCs w:val="20"/>
        </w:rPr>
      </w:pPr>
      <w:r w:rsidRPr="00CC00D4">
        <w:rPr>
          <w:rFonts w:cs="Tahoma"/>
          <w:szCs w:val="20"/>
        </w:rPr>
        <w:t>Sette mesi successivi al parto in caso di interdizione prorogata;</w:t>
      </w:r>
    </w:p>
    <w:p w14:paraId="4BF50D96" w14:textId="77777777" w:rsidR="002558B3" w:rsidRPr="00CC00D4" w:rsidRDefault="002558B3">
      <w:pPr>
        <w:pStyle w:val="Paragrafoelenco"/>
        <w:numPr>
          <w:ilvl w:val="0"/>
          <w:numId w:val="135"/>
        </w:numPr>
        <w:autoSpaceDN w:val="0"/>
        <w:ind w:left="709"/>
        <w:textAlignment w:val="baseline"/>
        <w:rPr>
          <w:rFonts w:cs="Tahoma"/>
          <w:szCs w:val="20"/>
        </w:rPr>
      </w:pPr>
      <w:r w:rsidRPr="00CC00D4">
        <w:rPr>
          <w:rFonts w:cs="Tahoma"/>
          <w:szCs w:val="20"/>
        </w:rPr>
        <w:lastRenderedPageBreak/>
        <w:t xml:space="preserve">Giorni non goduti per evento prematuro o fortemente prematuro, aggiuntivi al periodo di maternità </w:t>
      </w:r>
      <w:r w:rsidRPr="00CC00D4">
        <w:rPr>
          <w:rFonts w:cs="Tahoma"/>
          <w:i/>
          <w:iCs/>
          <w:szCs w:val="20"/>
        </w:rPr>
        <w:t>post-partum</w:t>
      </w:r>
      <w:r w:rsidRPr="00CC00D4">
        <w:rPr>
          <w:rFonts w:cs="Tahoma"/>
          <w:szCs w:val="20"/>
        </w:rPr>
        <w:t>.</w:t>
      </w:r>
    </w:p>
    <w:p w14:paraId="1317178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Oltre a precisare che la misura si applica anche in caso di adozione o affidamento, la Circolare afferma che il requisito contributivo necessario per accedere all’indennità di maternità (versamento dell’aliquota dello 0,72% per almeno una mensilità nei dodici mesi precedenti i due anteriori il parto) non deve “</w:t>
      </w:r>
      <w:r w:rsidRPr="00CC00D4">
        <w:rPr>
          <w:rFonts w:ascii="Tahoma" w:hAnsi="Tahoma" w:cs="Tahoma"/>
          <w:i/>
          <w:iCs/>
          <w:kern w:val="0"/>
          <w:sz w:val="20"/>
          <w:szCs w:val="20"/>
        </w:rPr>
        <w:t>essere nuovamente accertato</w:t>
      </w:r>
      <w:r w:rsidRPr="00CC00D4">
        <w:rPr>
          <w:rFonts w:ascii="Tahoma" w:hAnsi="Tahoma" w:cs="Tahoma"/>
          <w:kern w:val="0"/>
          <w:sz w:val="20"/>
          <w:szCs w:val="20"/>
        </w:rPr>
        <w:t>” per fruire dei tre mesi aggiuntivi “</w:t>
      </w:r>
      <w:r w:rsidRPr="00CC00D4">
        <w:rPr>
          <w:rFonts w:ascii="Tahoma" w:hAnsi="Tahoma" w:cs="Tahoma"/>
          <w:i/>
          <w:iCs/>
          <w:kern w:val="0"/>
          <w:sz w:val="20"/>
          <w:szCs w:val="20"/>
        </w:rPr>
        <w:t>trattandosi di un prolungamento (senza soluzione di continuità) del periodo indennizzabile di maternità</w:t>
      </w:r>
      <w:r w:rsidRPr="00CC00D4">
        <w:rPr>
          <w:rFonts w:ascii="Tahoma" w:hAnsi="Tahoma" w:cs="Tahoma"/>
          <w:kern w:val="0"/>
          <w:sz w:val="20"/>
          <w:szCs w:val="20"/>
        </w:rPr>
        <w:t>”.</w:t>
      </w:r>
    </w:p>
    <w:p w14:paraId="77EE35F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riguardo alla transizione verso le nuove regole, sempre l’INPS sottolinea che le tre mensilità:</w:t>
      </w:r>
    </w:p>
    <w:p w14:paraId="089906BF" w14:textId="77777777" w:rsidR="002558B3" w:rsidRPr="00CC00D4" w:rsidRDefault="002558B3">
      <w:pPr>
        <w:pStyle w:val="Paragrafoelenco"/>
        <w:numPr>
          <w:ilvl w:val="0"/>
          <w:numId w:val="134"/>
        </w:numPr>
        <w:autoSpaceDN w:val="0"/>
        <w:ind w:left="709" w:hanging="357"/>
        <w:contextualSpacing/>
        <w:textAlignment w:val="baseline"/>
        <w:rPr>
          <w:rFonts w:cs="Tahoma"/>
          <w:szCs w:val="20"/>
        </w:rPr>
      </w:pPr>
      <w:r w:rsidRPr="00CC00D4">
        <w:rPr>
          <w:rFonts w:cs="Tahoma"/>
          <w:szCs w:val="20"/>
        </w:rPr>
        <w:t>Sono indennizzabili nel caso in cui i periodi di maternità / paternità siano iniziati in data coincidente o successiva al 1° gennaio 2022 (data di entrata in vigore della Manovra) ovvero “</w:t>
      </w:r>
      <w:r w:rsidRPr="00CC00D4">
        <w:rPr>
          <w:rFonts w:cs="Tahoma"/>
          <w:i/>
          <w:iCs/>
          <w:szCs w:val="20"/>
        </w:rPr>
        <w:t>in data antecedente al 1° gennaio 2022 e siano parzialmente ricadenti nella vigenza della citata legge</w:t>
      </w:r>
      <w:r w:rsidRPr="00CC00D4">
        <w:rPr>
          <w:rFonts w:cs="Tahoma"/>
          <w:szCs w:val="20"/>
        </w:rPr>
        <w:t>”;</w:t>
      </w:r>
    </w:p>
    <w:p w14:paraId="71A481E9" w14:textId="77777777" w:rsidR="002558B3" w:rsidRPr="00CC00D4" w:rsidRDefault="002558B3">
      <w:pPr>
        <w:pStyle w:val="Paragrafoelenco"/>
        <w:numPr>
          <w:ilvl w:val="0"/>
          <w:numId w:val="134"/>
        </w:numPr>
        <w:autoSpaceDN w:val="0"/>
        <w:ind w:left="709"/>
        <w:textAlignment w:val="baseline"/>
        <w:rPr>
          <w:rFonts w:cs="Tahoma"/>
          <w:szCs w:val="20"/>
        </w:rPr>
      </w:pPr>
      <w:r w:rsidRPr="00CC00D4">
        <w:rPr>
          <w:rFonts w:cs="Tahoma"/>
          <w:szCs w:val="20"/>
        </w:rPr>
        <w:t>Non possono invece essere indennizzate se la maternità / paternità si è conclusa prima del 1° gennaio 2022.</w:t>
      </w:r>
    </w:p>
    <w:p w14:paraId="4F18AE2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merito alle modalità di presentazione delle istanze per accedere all’estensione dell’indennità, l’INPS si riserva con successivo messaggio di fornire indicazioni “</w:t>
      </w:r>
      <w:r w:rsidRPr="00CC00D4">
        <w:rPr>
          <w:rFonts w:ascii="Tahoma" w:hAnsi="Tahoma" w:cs="Tahoma"/>
          <w:i/>
          <w:iCs/>
          <w:kern w:val="0"/>
          <w:sz w:val="20"/>
          <w:szCs w:val="20"/>
        </w:rPr>
        <w:t>sul rilascio delle implementazioni della domanda telematica</w:t>
      </w:r>
      <w:r w:rsidRPr="00CC00D4">
        <w:rPr>
          <w:rFonts w:ascii="Tahoma" w:hAnsi="Tahoma" w:cs="Tahoma"/>
          <w:kern w:val="0"/>
          <w:sz w:val="20"/>
          <w:szCs w:val="20"/>
        </w:rPr>
        <w:t>”.</w:t>
      </w:r>
    </w:p>
    <w:p w14:paraId="00DDADDE" w14:textId="0A386767" w:rsidR="002558B3" w:rsidRPr="00CC00D4" w:rsidRDefault="00811B59" w:rsidP="002558B3">
      <w:pPr>
        <w:pStyle w:val="Standard"/>
        <w:spacing w:after="200" w:line="360" w:lineRule="auto"/>
        <w:jc w:val="both"/>
        <w:rPr>
          <w:rFonts w:ascii="Tahoma" w:hAnsi="Tahoma" w:cs="Tahoma"/>
          <w:kern w:val="0"/>
          <w:sz w:val="20"/>
          <w:szCs w:val="20"/>
        </w:rPr>
      </w:pPr>
      <w:commentRangeStart w:id="275"/>
      <w:r w:rsidRPr="00CC00D4">
        <w:rPr>
          <w:rFonts w:ascii="Tahoma" w:hAnsi="Tahoma" w:cs="Tahoma"/>
          <w:kern w:val="0"/>
          <w:sz w:val="20"/>
          <w:szCs w:val="20"/>
        </w:rPr>
        <w:t xml:space="preserve">A tal proposito l’Istituto è intervenuto con il Messaggio del 14 aprile 2022 numero 1657 allo scopo di comunicare gli aggiornamenti procedurali relativi alla presentazione telematica della domanda di indennità di maternità / paternità delle lavoratrici e dei lavoratori autonomi iscritti alla Gestione separata, secondo le novità legislative in parola. </w:t>
      </w:r>
    </w:p>
    <w:p w14:paraId="30E39F6E" w14:textId="50C41A7C" w:rsidR="00811B59" w:rsidRPr="00CC00D4" w:rsidRDefault="00811B59"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Come di consueto, ha chiarito l’Inps, la domanda</w:t>
      </w:r>
      <w:r w:rsidR="00A36537" w:rsidRPr="00CC00D4">
        <w:rPr>
          <w:rFonts w:ascii="Tahoma" w:hAnsi="Tahoma" w:cs="Tahoma"/>
          <w:kern w:val="0"/>
          <w:sz w:val="20"/>
          <w:szCs w:val="20"/>
        </w:rPr>
        <w:t xml:space="preserve"> di congedo</w:t>
      </w:r>
      <w:r w:rsidRPr="00CC00D4">
        <w:rPr>
          <w:rFonts w:ascii="Tahoma" w:hAnsi="Tahoma" w:cs="Tahoma"/>
          <w:kern w:val="0"/>
          <w:sz w:val="20"/>
          <w:szCs w:val="20"/>
        </w:rPr>
        <w:t xml:space="preserve"> dev’essere presentata esclusivamente in modalità telematica, attraverso uno dei seguenti canali: </w:t>
      </w:r>
    </w:p>
    <w:p w14:paraId="3DA16894" w14:textId="0D3133C6" w:rsidR="00811B59" w:rsidRPr="00CC00D4" w:rsidRDefault="00811B59">
      <w:pPr>
        <w:pStyle w:val="Standard"/>
        <w:numPr>
          <w:ilvl w:val="0"/>
          <w:numId w:val="215"/>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Collegandosi al portale telematico “</w:t>
      </w:r>
      <w:r w:rsidRPr="00CC00D4">
        <w:rPr>
          <w:rFonts w:ascii="Tahoma" w:hAnsi="Tahoma" w:cs="Tahoma"/>
          <w:i/>
          <w:iCs/>
          <w:kern w:val="0"/>
          <w:sz w:val="20"/>
          <w:szCs w:val="20"/>
        </w:rPr>
        <w:t>inps.it</w:t>
      </w:r>
      <w:r w:rsidRPr="00CC00D4">
        <w:rPr>
          <w:rFonts w:ascii="Tahoma" w:hAnsi="Tahoma" w:cs="Tahoma"/>
          <w:kern w:val="0"/>
          <w:sz w:val="20"/>
          <w:szCs w:val="20"/>
        </w:rPr>
        <w:t xml:space="preserve">”, in </w:t>
      </w:r>
      <w:r w:rsidR="00A36537" w:rsidRPr="00CC00D4">
        <w:rPr>
          <w:rFonts w:ascii="Tahoma" w:hAnsi="Tahoma" w:cs="Tahoma"/>
          <w:kern w:val="0"/>
          <w:sz w:val="20"/>
          <w:szCs w:val="20"/>
        </w:rPr>
        <w:t>possesso delle credenziali Spid, Cie o Cns;</w:t>
      </w:r>
    </w:p>
    <w:p w14:paraId="339BF265" w14:textId="59C0ACCB" w:rsidR="00A36537" w:rsidRPr="00CC00D4" w:rsidRDefault="00A36537">
      <w:pPr>
        <w:pStyle w:val="Standard"/>
        <w:numPr>
          <w:ilvl w:val="0"/>
          <w:numId w:val="215"/>
        </w:numPr>
        <w:spacing w:after="200" w:line="360" w:lineRule="auto"/>
        <w:ind w:left="709" w:hanging="357"/>
        <w:contextualSpacing/>
        <w:jc w:val="both"/>
        <w:rPr>
          <w:rFonts w:ascii="Tahoma" w:hAnsi="Tahoma" w:cs="Tahoma"/>
          <w:kern w:val="0"/>
          <w:sz w:val="20"/>
          <w:szCs w:val="20"/>
        </w:rPr>
      </w:pPr>
      <w:r w:rsidRPr="00CC00D4">
        <w:rPr>
          <w:rFonts w:ascii="Tahoma" w:hAnsi="Tahoma" w:cs="Tahoma"/>
          <w:kern w:val="0"/>
          <w:sz w:val="20"/>
          <w:szCs w:val="20"/>
        </w:rPr>
        <w:t>Chiamando il Contact center dell’Istituto, al numero verde 803.164 (gratuito da rete fissa) o lo 06.164.164 (da rete mobile a pagamento, in base alla tariffa applicata dai diversi gestori);</w:t>
      </w:r>
    </w:p>
    <w:p w14:paraId="4FB1D6CA" w14:textId="0E38E66F" w:rsidR="00A36537" w:rsidRPr="00CC00D4" w:rsidRDefault="00A36537">
      <w:pPr>
        <w:pStyle w:val="Standard"/>
        <w:numPr>
          <w:ilvl w:val="0"/>
          <w:numId w:val="215"/>
        </w:numPr>
        <w:spacing w:after="200" w:line="360" w:lineRule="auto"/>
        <w:ind w:left="709"/>
        <w:jc w:val="both"/>
        <w:rPr>
          <w:rFonts w:ascii="Tahoma" w:hAnsi="Tahoma" w:cs="Tahoma"/>
          <w:kern w:val="0"/>
          <w:sz w:val="20"/>
          <w:szCs w:val="20"/>
        </w:rPr>
      </w:pPr>
      <w:r w:rsidRPr="00CC00D4">
        <w:rPr>
          <w:rFonts w:ascii="Tahoma" w:hAnsi="Tahoma" w:cs="Tahoma"/>
          <w:kern w:val="0"/>
          <w:sz w:val="20"/>
          <w:szCs w:val="20"/>
        </w:rPr>
        <w:t xml:space="preserve">Tramite gli Istituti di Patronato, utilizzando i servizi offerti gratuitamente dagli stessi. </w:t>
      </w:r>
    </w:p>
    <w:p w14:paraId="37ECEC91" w14:textId="6348DD02" w:rsidR="00A36537" w:rsidRPr="00CC00D4" w:rsidRDefault="00A36537" w:rsidP="00A36537">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flusso di acquisizione della procedura di presentazione online delle domande, sottolinea il messaggio del 14 aprile, è stato “</w:t>
      </w:r>
      <w:r w:rsidRPr="00CC00D4">
        <w:rPr>
          <w:rFonts w:ascii="Tahoma" w:hAnsi="Tahoma" w:cs="Tahoma"/>
          <w:i/>
          <w:iCs/>
          <w:kern w:val="0"/>
          <w:sz w:val="20"/>
          <w:szCs w:val="20"/>
        </w:rPr>
        <w:t>modificato per consentire l’acquisizione della dichiarazione di voler fruire della estensione di ulteriori 3 mesi di indennità</w:t>
      </w:r>
      <w:r w:rsidRPr="00CC00D4">
        <w:rPr>
          <w:rFonts w:ascii="Tahoma" w:hAnsi="Tahoma" w:cs="Tahoma"/>
          <w:kern w:val="0"/>
          <w:sz w:val="20"/>
          <w:szCs w:val="20"/>
        </w:rPr>
        <w:t xml:space="preserve">”. </w:t>
      </w:r>
    </w:p>
    <w:p w14:paraId="7D537435" w14:textId="41E0D9C5" w:rsidR="00A36537" w:rsidRPr="00CC00D4" w:rsidRDefault="00A36537" w:rsidP="00A36537">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richiedere l’estensione della tutela è necessario spuntare con “Sì” la nuova dichiarazione “</w:t>
      </w:r>
      <w:r w:rsidRPr="00CC00D4">
        <w:rPr>
          <w:rFonts w:ascii="Tahoma" w:hAnsi="Tahoma" w:cs="Tahoma"/>
          <w:i/>
          <w:iCs/>
          <w:kern w:val="0"/>
          <w:sz w:val="20"/>
          <w:szCs w:val="20"/>
        </w:rPr>
        <w:t xml:space="preserve">Dichiaro di voler fruire di ulteriori 3 mesi di indennità di maternità. Dichiaro, a tal fine, che nell’anno precedente l’inizio del periodo di maternità / paternità, i miei redditi lordi risultano inferiori al reddito di riferimento riportato nell’art. </w:t>
      </w:r>
      <w:r w:rsidRPr="00CC00D4">
        <w:rPr>
          <w:rFonts w:ascii="Tahoma" w:hAnsi="Tahoma" w:cs="Tahoma"/>
          <w:i/>
          <w:iCs/>
          <w:kern w:val="0"/>
          <w:sz w:val="20"/>
          <w:szCs w:val="20"/>
        </w:rPr>
        <w:lastRenderedPageBreak/>
        <w:t>1, comma 239, della legge 30 dicembre 2021, n. 234 (8.145,00 euro da rivalutare annualmente in base all’indice Istat</w:t>
      </w:r>
      <w:r w:rsidRPr="00CC00D4">
        <w:rPr>
          <w:rFonts w:ascii="Tahoma" w:hAnsi="Tahoma" w:cs="Tahoma"/>
          <w:kern w:val="0"/>
          <w:sz w:val="20"/>
          <w:szCs w:val="20"/>
        </w:rPr>
        <w:t xml:space="preserve">”. </w:t>
      </w:r>
    </w:p>
    <w:p w14:paraId="6A0F2C76" w14:textId="370F7764" w:rsidR="00A36537" w:rsidRPr="00CC00D4" w:rsidRDefault="00A36537" w:rsidP="00A36537">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La domanda, conclude l’Inps, potrà riguardare anche periodi di astensione antecedenti alla data di presentazione della stessa, ma l’estensione della tutela per ulteriori tre mesi è possibile solo se il periodo ordinario è a cavallo o successivo al 1° gennaio 2022, data di entrata in vigore della Legge numero 234/2021. </w:t>
      </w:r>
      <w:commentRangeEnd w:id="275"/>
      <w:r w:rsidR="00F725CB" w:rsidRPr="00CC00D4">
        <w:rPr>
          <w:rStyle w:val="Rimandocommento"/>
          <w:rFonts w:ascii="Calibri" w:hAnsi="Calibri" w:cs="F"/>
          <w:color w:val="auto"/>
          <w:kern w:val="3"/>
          <w:lang w:eastAsia="it-IT" w:bidi="ar-SA"/>
        </w:rPr>
        <w:commentReference w:id="275"/>
      </w:r>
    </w:p>
    <w:p w14:paraId="05FE71C5" w14:textId="77777777" w:rsidR="00634069" w:rsidRPr="00CC00D4" w:rsidRDefault="00634069" w:rsidP="00F14C98">
      <w:pPr>
        <w:pStyle w:val="Titolo2"/>
      </w:pPr>
      <w:bookmarkStart w:id="276" w:name="__RefHeading__4520_1479815270"/>
      <w:bookmarkStart w:id="277" w:name="_Toc92386526"/>
    </w:p>
    <w:p w14:paraId="5363CAC1" w14:textId="7FCD673C" w:rsidR="002558B3" w:rsidRPr="00CC00D4" w:rsidRDefault="002558B3" w:rsidP="00F14C98">
      <w:pPr>
        <w:pStyle w:val="Titolo2"/>
      </w:pPr>
      <w:bookmarkStart w:id="278" w:name="_Toc124266295"/>
      <w:r w:rsidRPr="00CC00D4">
        <w:t>4.4 Congedo parentale</w:t>
      </w:r>
      <w:bookmarkEnd w:id="276"/>
      <w:bookmarkEnd w:id="277"/>
      <w:bookmarkEnd w:id="278"/>
    </w:p>
    <w:p w14:paraId="3666354B" w14:textId="350EBDF7" w:rsidR="002558B3" w:rsidRPr="00CC00D4" w:rsidRDefault="002558B3" w:rsidP="002558B3">
      <w:pPr>
        <w:pStyle w:val="Standard"/>
        <w:spacing w:after="200" w:line="360" w:lineRule="auto"/>
        <w:jc w:val="both"/>
        <w:rPr>
          <w:rFonts w:ascii="Tahoma" w:hAnsi="Tahoma" w:cs="Tahoma"/>
          <w:kern w:val="0"/>
          <w:sz w:val="20"/>
          <w:szCs w:val="20"/>
        </w:rPr>
      </w:pPr>
      <w:commentRangeStart w:id="279"/>
      <w:r w:rsidRPr="00CC00D4">
        <w:rPr>
          <w:rFonts w:ascii="Tahoma" w:hAnsi="Tahoma" w:cs="Tahoma"/>
          <w:kern w:val="0"/>
          <w:sz w:val="20"/>
          <w:szCs w:val="20"/>
        </w:rPr>
        <w:t>Gli iscritti alla Gestione Separata tenuti al versamento del contributo dello 0,72% (articolo 8 commi 4 – 7 Legge 22 maggio 2017 numero 81, articolo 2 bis Decreto legislativo 15 giugno 2015 numero 81, articolo 1 comma 1 lettera b Decreto legge 3 settembre 2019 numero 101 convertito con modificazioni in Legge 2 novembre 2019 numero 128), hanno diritto</w:t>
      </w:r>
      <w:r w:rsidR="00D316C9" w:rsidRPr="00CC00D4">
        <w:rPr>
          <w:rFonts w:ascii="Tahoma" w:hAnsi="Tahoma" w:cs="Tahoma"/>
          <w:kern w:val="0"/>
          <w:sz w:val="20"/>
          <w:szCs w:val="20"/>
        </w:rPr>
        <w:t xml:space="preserve"> </w:t>
      </w:r>
      <w:r w:rsidRPr="00CC00D4">
        <w:rPr>
          <w:rFonts w:ascii="Tahoma" w:hAnsi="Tahoma" w:cs="Tahoma"/>
          <w:kern w:val="0"/>
          <w:sz w:val="20"/>
          <w:szCs w:val="20"/>
        </w:rPr>
        <w:t xml:space="preserve">ad un trattamento economico per congedo parentale (pagato direttamente dall’INPS) nel limite </w:t>
      </w:r>
      <w:r w:rsidR="00D316C9" w:rsidRPr="00CC00D4">
        <w:rPr>
          <w:rFonts w:ascii="Tahoma" w:hAnsi="Tahoma" w:cs="Tahoma"/>
          <w:kern w:val="0"/>
          <w:sz w:val="20"/>
          <w:szCs w:val="20"/>
        </w:rPr>
        <w:t>di tre mesi per ciascun genitore entro i primi dodici anni di vita del bambino. Entro</w:t>
      </w:r>
      <w:r w:rsidRPr="00CC00D4">
        <w:rPr>
          <w:rFonts w:ascii="Tahoma" w:hAnsi="Tahoma" w:cs="Tahoma"/>
          <w:kern w:val="0"/>
          <w:sz w:val="20"/>
          <w:szCs w:val="20"/>
        </w:rPr>
        <w:t xml:space="preserve"> </w:t>
      </w:r>
      <w:r w:rsidR="00D316C9" w:rsidRPr="00CC00D4">
        <w:rPr>
          <w:rFonts w:ascii="Tahoma" w:hAnsi="Tahoma" w:cs="Tahoma"/>
          <w:kern w:val="0"/>
          <w:sz w:val="20"/>
          <w:szCs w:val="20"/>
        </w:rPr>
        <w:t xml:space="preserve">lo stesso termine i genitori </w:t>
      </w:r>
      <w:r w:rsidR="0004434B" w:rsidRPr="00CC00D4">
        <w:rPr>
          <w:rFonts w:ascii="Tahoma" w:hAnsi="Tahoma" w:cs="Tahoma"/>
          <w:kern w:val="0"/>
          <w:sz w:val="20"/>
          <w:szCs w:val="20"/>
        </w:rPr>
        <w:t>sono destinatari</w:t>
      </w:r>
      <w:r w:rsidR="00D316C9" w:rsidRPr="00CC00D4">
        <w:rPr>
          <w:rFonts w:ascii="Tahoma" w:hAnsi="Tahoma" w:cs="Tahoma"/>
          <w:kern w:val="0"/>
          <w:sz w:val="20"/>
          <w:szCs w:val="20"/>
        </w:rPr>
        <w:t xml:space="preserve">, in alternativa tra loro, </w:t>
      </w:r>
      <w:r w:rsidR="0004434B" w:rsidRPr="00CC00D4">
        <w:rPr>
          <w:rFonts w:ascii="Tahoma" w:hAnsi="Tahoma" w:cs="Tahoma"/>
          <w:kern w:val="0"/>
          <w:sz w:val="20"/>
          <w:szCs w:val="20"/>
        </w:rPr>
        <w:t>di</w:t>
      </w:r>
      <w:r w:rsidR="00D316C9" w:rsidRPr="00CC00D4">
        <w:rPr>
          <w:rFonts w:ascii="Tahoma" w:hAnsi="Tahoma" w:cs="Tahoma"/>
          <w:kern w:val="0"/>
          <w:sz w:val="20"/>
          <w:szCs w:val="20"/>
        </w:rPr>
        <w:t xml:space="preserve"> ulteriori tre mesi di congedo</w:t>
      </w:r>
      <w:r w:rsidRPr="00CC00D4">
        <w:rPr>
          <w:rFonts w:ascii="Tahoma" w:hAnsi="Tahoma" w:cs="Tahoma"/>
          <w:kern w:val="0"/>
          <w:sz w:val="20"/>
          <w:szCs w:val="20"/>
        </w:rPr>
        <w:t>.</w:t>
      </w:r>
    </w:p>
    <w:p w14:paraId="59DE1703" w14:textId="0B72B171" w:rsidR="0048491D" w:rsidRPr="00CC00D4" w:rsidRDefault="0048491D"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L’istituto è stato ritoccato a norma del Decreto legislativo 30 giugno 2022 numero 105 pubblicato nella Gazzetta ufficiale del 29 luglio 2022 numero 176, in vigore dal 13 agosto 2022, adottato in attuazione della Direttiva (UE) 2019/1158 del Parlamento europeo e del Consiglio del 20 giugno 2019, relativa all’equilibrio tra attività professionale e vita familiare per i genitori e i prestatori di assistenza (che abroga la direttiva 2010/18/UE del Consiglio). </w:t>
      </w:r>
    </w:p>
    <w:p w14:paraId="4A0DF452" w14:textId="52EE3FA6" w:rsidR="0048491D" w:rsidRPr="00CC00D4" w:rsidRDefault="0048491D"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modifiche al congedo parentale per gli iscritti alla Gestione separata interessano l’articolo 4, comma 1, lettera a) numero 1 e 2. Nello specifico, l’articolo 4, comma 1, lettera a) numero 1</w:t>
      </w:r>
      <w:r w:rsidR="00F40AD1" w:rsidRPr="00CC00D4">
        <w:rPr>
          <w:rFonts w:ascii="Tahoma" w:hAnsi="Tahoma" w:cs="Tahoma"/>
          <w:kern w:val="0"/>
          <w:sz w:val="20"/>
          <w:szCs w:val="20"/>
        </w:rPr>
        <w:t xml:space="preserve"> (modificando l’articolo 8, comma 4 della Legge numero 81/2017)</w:t>
      </w:r>
      <w:r w:rsidRPr="00CC00D4">
        <w:rPr>
          <w:rFonts w:ascii="Tahoma" w:hAnsi="Tahoma" w:cs="Tahoma"/>
          <w:kern w:val="0"/>
          <w:sz w:val="20"/>
          <w:szCs w:val="20"/>
        </w:rPr>
        <w:t xml:space="preserve"> </w:t>
      </w:r>
      <w:r w:rsidR="00F40AD1" w:rsidRPr="00CC00D4">
        <w:rPr>
          <w:rFonts w:ascii="Tahoma" w:hAnsi="Tahoma" w:cs="Tahoma"/>
          <w:kern w:val="0"/>
          <w:sz w:val="20"/>
          <w:szCs w:val="20"/>
        </w:rPr>
        <w:t xml:space="preserve">estende il numero di mesi di congedo spettanti ai genitori, oltre all’arco temporale (con riferimento agli anni di vita del bambino) entro cui la prestazione può essere sfruttata. </w:t>
      </w:r>
    </w:p>
    <w:p w14:paraId="190CB6FF" w14:textId="29A42485" w:rsidR="00F40AD1" w:rsidRPr="00CC00D4" w:rsidRDefault="00F40AD1"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successivo articolo 4, comma 1, lettera a) numero 2, aggiunge al citato articolo 8 il comma 7-</w:t>
      </w:r>
      <w:r w:rsidRPr="00CC00D4">
        <w:rPr>
          <w:rFonts w:ascii="Tahoma" w:hAnsi="Tahoma" w:cs="Tahoma"/>
          <w:i/>
          <w:iCs/>
          <w:kern w:val="0"/>
          <w:sz w:val="20"/>
          <w:szCs w:val="20"/>
        </w:rPr>
        <w:t>bis</w:t>
      </w:r>
      <w:r w:rsidRPr="00CC00D4">
        <w:rPr>
          <w:rFonts w:ascii="Tahoma" w:hAnsi="Tahoma" w:cs="Tahoma"/>
          <w:kern w:val="0"/>
          <w:sz w:val="20"/>
          <w:szCs w:val="20"/>
        </w:rPr>
        <w:t xml:space="preserve"> con cui si dispone che il “</w:t>
      </w:r>
      <w:r w:rsidRPr="00CC00D4">
        <w:rPr>
          <w:rFonts w:ascii="Tahoma" w:hAnsi="Tahoma" w:cs="Tahoma"/>
          <w:i/>
          <w:iCs/>
          <w:kern w:val="0"/>
          <w:sz w:val="20"/>
          <w:szCs w:val="20"/>
        </w:rPr>
        <w:t>rifiuto, l’opposizione o l’ostacolo all’esercizio dei diritti di assenza dal lavoro di cui ai commi 4, 6 e 7, ove rilevati nei due anni antecedenti alla richiesta della certificazione della parità di genere di cui all’articolo 46-bis del decreto legislativo 11 aprile 2006, n. 198, o di analoghe certificazioni previste dalle regioni e dalle province autonome nei rispettivi ordinamenti, impediscono al datore di lavoro il conseguimento delle stesse certificazioni</w:t>
      </w:r>
      <w:r w:rsidRPr="00CC00D4">
        <w:rPr>
          <w:rFonts w:ascii="Tahoma" w:hAnsi="Tahoma" w:cs="Tahoma"/>
          <w:kern w:val="0"/>
          <w:sz w:val="20"/>
          <w:szCs w:val="20"/>
        </w:rPr>
        <w:t xml:space="preserve">”. </w:t>
      </w:r>
    </w:p>
    <w:p w14:paraId="0A1741C3" w14:textId="2907A7B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 differenza del congedo obbligatorio, il padre può godere della prestazione indipendentemente dagli eventi che coinvolgono la madre, sia pure nel rispetto dei limiti individuali e complessivi.</w:t>
      </w:r>
    </w:p>
    <w:p w14:paraId="25B98C3E" w14:textId="025633D9" w:rsidR="00170A6A" w:rsidRPr="00CC00D4" w:rsidRDefault="00170A6A"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 xml:space="preserve">Le disposizioni in esame operano anche nei casi di adozione o affidamento preadottivo. </w:t>
      </w:r>
      <w:commentRangeEnd w:id="279"/>
      <w:r w:rsidR="00F725CB" w:rsidRPr="00CC00D4">
        <w:rPr>
          <w:rStyle w:val="Rimandocommento"/>
          <w:rFonts w:ascii="Calibri" w:hAnsi="Calibri" w:cs="F"/>
          <w:color w:val="auto"/>
          <w:kern w:val="3"/>
          <w:lang w:eastAsia="it-IT" w:bidi="ar-SA"/>
        </w:rPr>
        <w:commentReference w:id="279"/>
      </w:r>
    </w:p>
    <w:p w14:paraId="39427C34" w14:textId="77777777" w:rsidR="002411E3" w:rsidRPr="00CC00D4" w:rsidRDefault="002411E3" w:rsidP="00130676">
      <w:pPr>
        <w:pStyle w:val="Citazione"/>
      </w:pPr>
      <w:bookmarkStart w:id="280" w:name="__RefHeading__4522_1479815270"/>
      <w:bookmarkStart w:id="281" w:name="_Toc92386527"/>
    </w:p>
    <w:p w14:paraId="46A3B0BB" w14:textId="1F017E58" w:rsidR="002558B3" w:rsidRPr="00CC00D4" w:rsidRDefault="002558B3" w:rsidP="00F14C98">
      <w:pPr>
        <w:pStyle w:val="Titolo3"/>
        <w:rPr>
          <w:u w:val="none"/>
        </w:rPr>
      </w:pPr>
      <w:bookmarkStart w:id="282" w:name="_Toc124266296"/>
      <w:commentRangeStart w:id="283"/>
      <w:r w:rsidRPr="00CC00D4">
        <w:t>4.4.1 Domanda</w:t>
      </w:r>
      <w:bookmarkEnd w:id="280"/>
      <w:bookmarkEnd w:id="281"/>
      <w:bookmarkEnd w:id="282"/>
    </w:p>
    <w:p w14:paraId="10BFC79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le stesse modalità previste per il congedo obbligatorio, il lavoratore autonomo occasionale è tenuto ad inoltrare domanda all’INPS e (qualora ciò sia previsto nel contratto) anche al committente.</w:t>
      </w:r>
    </w:p>
    <w:p w14:paraId="0792C742" w14:textId="237A61D3"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periodi di congedo possono essere frazionati in mesi o giorni, al pari di quanto avviene per i lavoratori dipendenti. Escluso invece il godimento in modalità oraria.</w:t>
      </w:r>
    </w:p>
    <w:p w14:paraId="0F03800D" w14:textId="77777777" w:rsidR="00634069" w:rsidRPr="00CC00D4" w:rsidRDefault="00634069" w:rsidP="00F14C98">
      <w:pPr>
        <w:pStyle w:val="Titolo3"/>
        <w:rPr>
          <w:u w:val="none"/>
        </w:rPr>
      </w:pPr>
      <w:bookmarkStart w:id="284" w:name="__RefHeading__4524_1479815270"/>
      <w:bookmarkStart w:id="285" w:name="_Toc92386528"/>
    </w:p>
    <w:p w14:paraId="24F2D45E" w14:textId="5A9486C8" w:rsidR="002558B3" w:rsidRPr="00CC00D4" w:rsidRDefault="00F14C98" w:rsidP="00F14C98">
      <w:pPr>
        <w:pStyle w:val="Titolo3"/>
        <w:rPr>
          <w:u w:val="none"/>
        </w:rPr>
      </w:pPr>
      <w:bookmarkStart w:id="286" w:name="_Toc124266297"/>
      <w:r w:rsidRPr="00CC00D4">
        <w:t xml:space="preserve">4.4.2 </w:t>
      </w:r>
      <w:r w:rsidR="00170A6A" w:rsidRPr="00CC00D4">
        <w:t>Nove</w:t>
      </w:r>
      <w:r w:rsidR="002558B3" w:rsidRPr="00CC00D4">
        <w:t xml:space="preserve"> mesi</w:t>
      </w:r>
      <w:bookmarkEnd w:id="284"/>
      <w:bookmarkEnd w:id="285"/>
      <w:bookmarkEnd w:id="286"/>
    </w:p>
    <w:p w14:paraId="2443A810" w14:textId="2243409A" w:rsidR="002558B3" w:rsidRPr="00CC00D4" w:rsidRDefault="002558B3" w:rsidP="00170A6A">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Il congedo parentale è fruibile nel rispetto del limite complessivo tra entrambi i genitori pari a </w:t>
      </w:r>
      <w:r w:rsidR="00170A6A" w:rsidRPr="00CC00D4">
        <w:rPr>
          <w:rFonts w:ascii="Tahoma" w:hAnsi="Tahoma" w:cs="Tahoma"/>
          <w:kern w:val="0"/>
          <w:sz w:val="20"/>
          <w:szCs w:val="20"/>
        </w:rPr>
        <w:t>nove</w:t>
      </w:r>
      <w:r w:rsidRPr="00CC00D4">
        <w:rPr>
          <w:rFonts w:ascii="Tahoma" w:hAnsi="Tahoma" w:cs="Tahoma"/>
          <w:kern w:val="0"/>
          <w:sz w:val="20"/>
          <w:szCs w:val="20"/>
        </w:rPr>
        <w:t xml:space="preserve"> mesi. Nel conteggio si sommano anche i periodi indennizzati fruiti dall’altro genitore iscritto in una Gestione o cassa diversa dalla Gestione Separata. Sotto questo aspetto può accadere che</w:t>
      </w:r>
      <w:r w:rsidR="00170A6A" w:rsidRPr="00CC00D4">
        <w:rPr>
          <w:rFonts w:ascii="Tahoma" w:hAnsi="Tahoma" w:cs="Tahoma"/>
          <w:kern w:val="0"/>
          <w:sz w:val="20"/>
          <w:szCs w:val="20"/>
        </w:rPr>
        <w:t xml:space="preserve"> il </w:t>
      </w:r>
      <w:r w:rsidRPr="00CC00D4">
        <w:rPr>
          <w:rFonts w:ascii="Tahoma" w:hAnsi="Tahoma" w:cs="Tahoma"/>
          <w:kern w:val="0"/>
          <w:sz w:val="20"/>
          <w:szCs w:val="20"/>
        </w:rPr>
        <w:t xml:space="preserve">padre lavoratore dipendente fruisca di </w:t>
      </w:r>
      <w:r w:rsidR="00170A6A" w:rsidRPr="00CC00D4">
        <w:rPr>
          <w:rFonts w:ascii="Tahoma" w:hAnsi="Tahoma" w:cs="Tahoma"/>
          <w:kern w:val="0"/>
          <w:sz w:val="20"/>
          <w:szCs w:val="20"/>
        </w:rPr>
        <w:t>sei</w:t>
      </w:r>
      <w:r w:rsidRPr="00CC00D4">
        <w:rPr>
          <w:rFonts w:ascii="Tahoma" w:hAnsi="Tahoma" w:cs="Tahoma"/>
          <w:kern w:val="0"/>
          <w:sz w:val="20"/>
          <w:szCs w:val="20"/>
        </w:rPr>
        <w:t xml:space="preserve"> mesi di congedo parentale</w:t>
      </w:r>
      <w:r w:rsidR="004B3C8B" w:rsidRPr="00CC00D4">
        <w:rPr>
          <w:rFonts w:ascii="Tahoma" w:hAnsi="Tahoma" w:cs="Tahoma"/>
          <w:kern w:val="0"/>
          <w:sz w:val="20"/>
          <w:szCs w:val="20"/>
        </w:rPr>
        <w:t>. In tal caso,</w:t>
      </w:r>
      <w:r w:rsidRPr="00CC00D4">
        <w:rPr>
          <w:rFonts w:ascii="Tahoma" w:hAnsi="Tahoma" w:cs="Tahoma"/>
          <w:kern w:val="0"/>
          <w:sz w:val="20"/>
          <w:szCs w:val="20"/>
        </w:rPr>
        <w:t xml:space="preserve"> a beneficio della madre residuano </w:t>
      </w:r>
      <w:r w:rsidR="00170A6A" w:rsidRPr="00CC00D4">
        <w:rPr>
          <w:rFonts w:ascii="Tahoma" w:hAnsi="Tahoma" w:cs="Tahoma"/>
          <w:kern w:val="0"/>
          <w:sz w:val="20"/>
          <w:szCs w:val="20"/>
        </w:rPr>
        <w:t>tre</w:t>
      </w:r>
      <w:r w:rsidRPr="00CC00D4">
        <w:rPr>
          <w:rFonts w:ascii="Tahoma" w:hAnsi="Tahoma" w:cs="Tahoma"/>
          <w:kern w:val="0"/>
          <w:sz w:val="20"/>
          <w:szCs w:val="20"/>
        </w:rPr>
        <w:t xml:space="preserve"> mesi</w:t>
      </w:r>
      <w:r w:rsidR="00170A6A" w:rsidRPr="00CC00D4">
        <w:rPr>
          <w:rFonts w:ascii="Tahoma" w:hAnsi="Tahoma" w:cs="Tahoma"/>
          <w:kern w:val="0"/>
          <w:sz w:val="20"/>
          <w:szCs w:val="20"/>
        </w:rPr>
        <w:t>.</w:t>
      </w:r>
    </w:p>
    <w:p w14:paraId="0912294B" w14:textId="7FF4C26B" w:rsidR="004B3C8B" w:rsidRPr="00CC00D4" w:rsidRDefault="004B3C8B" w:rsidP="00170A6A">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meglio comprendere la portata delle modifiche, ecco una tabella fornita dalla Circolare Inps del 27 ottobre 2022 numero 122:</w:t>
      </w:r>
    </w:p>
    <w:tbl>
      <w:tblPr>
        <w:tblStyle w:val="Grigliatabella"/>
        <w:tblW w:w="0" w:type="auto"/>
        <w:tblLook w:val="04A0" w:firstRow="1" w:lastRow="0" w:firstColumn="1" w:lastColumn="0" w:noHBand="0" w:noVBand="1"/>
      </w:tblPr>
      <w:tblGrid>
        <w:gridCol w:w="3209"/>
        <w:gridCol w:w="3209"/>
        <w:gridCol w:w="3210"/>
      </w:tblGrid>
      <w:tr w:rsidR="004B3C8B" w:rsidRPr="00CC00D4" w14:paraId="2EE255E8" w14:textId="77777777" w:rsidTr="00634069">
        <w:tc>
          <w:tcPr>
            <w:tcW w:w="3209" w:type="dxa"/>
            <w:shd w:val="clear" w:color="auto" w:fill="DEEAF6" w:themeFill="accent1" w:themeFillTint="33"/>
          </w:tcPr>
          <w:p w14:paraId="40B9FCE0" w14:textId="77777777" w:rsidR="004B3C8B" w:rsidRPr="00CC00D4" w:rsidRDefault="004B3C8B" w:rsidP="00634069">
            <w:pPr>
              <w:pStyle w:val="Standard"/>
              <w:spacing w:before="60" w:after="60" w:line="326" w:lineRule="auto"/>
              <w:jc w:val="center"/>
              <w:rPr>
                <w:rFonts w:ascii="Tahoma" w:hAnsi="Tahoma" w:cs="Tahoma"/>
                <w:kern w:val="0"/>
                <w:sz w:val="20"/>
                <w:szCs w:val="20"/>
              </w:rPr>
            </w:pPr>
          </w:p>
        </w:tc>
        <w:tc>
          <w:tcPr>
            <w:tcW w:w="3209" w:type="dxa"/>
            <w:shd w:val="clear" w:color="auto" w:fill="DEEAF6" w:themeFill="accent1" w:themeFillTint="33"/>
          </w:tcPr>
          <w:p w14:paraId="3A26E2C2" w14:textId="7AE47575" w:rsidR="004B3C8B" w:rsidRPr="00CC00D4" w:rsidRDefault="004B3C8B" w:rsidP="00634069">
            <w:pPr>
              <w:pStyle w:val="Standard"/>
              <w:spacing w:before="60" w:after="60" w:line="326" w:lineRule="auto"/>
              <w:jc w:val="center"/>
              <w:rPr>
                <w:rFonts w:ascii="Tahoma" w:hAnsi="Tahoma" w:cs="Tahoma"/>
                <w:b/>
                <w:bCs/>
                <w:kern w:val="0"/>
                <w:sz w:val="20"/>
                <w:szCs w:val="20"/>
              </w:rPr>
            </w:pPr>
            <w:r w:rsidRPr="00CC00D4">
              <w:rPr>
                <w:rFonts w:ascii="Tahoma" w:hAnsi="Tahoma" w:cs="Tahoma"/>
                <w:b/>
                <w:bCs/>
                <w:kern w:val="0"/>
                <w:sz w:val="20"/>
                <w:szCs w:val="20"/>
              </w:rPr>
              <w:t>Prima della riforma</w:t>
            </w:r>
          </w:p>
        </w:tc>
        <w:tc>
          <w:tcPr>
            <w:tcW w:w="3210" w:type="dxa"/>
            <w:shd w:val="clear" w:color="auto" w:fill="DEEAF6" w:themeFill="accent1" w:themeFillTint="33"/>
          </w:tcPr>
          <w:p w14:paraId="00D60DF6" w14:textId="20AF140A" w:rsidR="004B3C8B" w:rsidRPr="00CC00D4" w:rsidRDefault="004B3C8B" w:rsidP="00634069">
            <w:pPr>
              <w:pStyle w:val="Standard"/>
              <w:spacing w:before="60" w:after="60" w:line="326" w:lineRule="auto"/>
              <w:jc w:val="center"/>
              <w:rPr>
                <w:rFonts w:ascii="Tahoma" w:hAnsi="Tahoma" w:cs="Tahoma"/>
                <w:b/>
                <w:bCs/>
                <w:kern w:val="0"/>
                <w:sz w:val="20"/>
                <w:szCs w:val="20"/>
              </w:rPr>
            </w:pPr>
            <w:r w:rsidRPr="00CC00D4">
              <w:rPr>
                <w:rFonts w:ascii="Tahoma" w:hAnsi="Tahoma" w:cs="Tahoma"/>
                <w:b/>
                <w:bCs/>
                <w:kern w:val="0"/>
                <w:sz w:val="20"/>
                <w:szCs w:val="20"/>
              </w:rPr>
              <w:t>Dopo la riforma</w:t>
            </w:r>
          </w:p>
        </w:tc>
      </w:tr>
      <w:tr w:rsidR="004B3C8B" w:rsidRPr="00CC00D4" w14:paraId="0DC2C0FC" w14:textId="77777777" w:rsidTr="004B3C8B">
        <w:tc>
          <w:tcPr>
            <w:tcW w:w="3209" w:type="dxa"/>
          </w:tcPr>
          <w:p w14:paraId="50F9125B" w14:textId="6566E9B2"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Genitore madre</w:t>
            </w:r>
          </w:p>
        </w:tc>
        <w:tc>
          <w:tcPr>
            <w:tcW w:w="3209" w:type="dxa"/>
          </w:tcPr>
          <w:p w14:paraId="7E41FF1A" w14:textId="04BFBC3D"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6 mesi da fruire entro i 3 anni di vita o dall’ingresso in famiglia (al padre spettano 0 mesi)</w:t>
            </w:r>
          </w:p>
        </w:tc>
        <w:tc>
          <w:tcPr>
            <w:tcW w:w="3210" w:type="dxa"/>
          </w:tcPr>
          <w:p w14:paraId="44E484AD" w14:textId="7DA5417D"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3 + 3 mesi da fruire entro i 12 anni di vita o dall’ingresso in famiglia (al padre spettano altri 3 mesi entro i 12 anni)</w:t>
            </w:r>
          </w:p>
        </w:tc>
      </w:tr>
      <w:tr w:rsidR="004B3C8B" w:rsidRPr="00CC00D4" w14:paraId="46430968" w14:textId="77777777" w:rsidTr="004B3C8B">
        <w:tc>
          <w:tcPr>
            <w:tcW w:w="3209" w:type="dxa"/>
          </w:tcPr>
          <w:p w14:paraId="2D8462FC" w14:textId="77B095F3"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Genitore padre</w:t>
            </w:r>
          </w:p>
        </w:tc>
        <w:tc>
          <w:tcPr>
            <w:tcW w:w="3209" w:type="dxa"/>
          </w:tcPr>
          <w:p w14:paraId="4AD620E8" w14:textId="73EF18D6"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6 mesi da fruire entro i 3 anni di vita o dall’ingresso in famiglia (alla madre spettano 0 mesi)</w:t>
            </w:r>
          </w:p>
        </w:tc>
        <w:tc>
          <w:tcPr>
            <w:tcW w:w="3210" w:type="dxa"/>
          </w:tcPr>
          <w:p w14:paraId="13B94970" w14:textId="03ECC46C"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3 + 3 mesi da fruire entro i 12 anni di vita o dall’ingresso in famiglia (alla madre spettano altri 3 mesi entro i 12 anni)</w:t>
            </w:r>
          </w:p>
        </w:tc>
      </w:tr>
      <w:tr w:rsidR="004B3C8B" w:rsidRPr="00CC00D4" w14:paraId="1AC56C2F" w14:textId="77777777" w:rsidTr="004B3C8B">
        <w:tc>
          <w:tcPr>
            <w:tcW w:w="3209" w:type="dxa"/>
          </w:tcPr>
          <w:p w14:paraId="5A59DE38" w14:textId="5011B584"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Entrambi i genitori</w:t>
            </w:r>
          </w:p>
        </w:tc>
        <w:tc>
          <w:tcPr>
            <w:tcW w:w="3209" w:type="dxa"/>
          </w:tcPr>
          <w:p w14:paraId="44AEFEA2" w14:textId="0325EAFF"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6 mesi da fruire entro i 3 anni di vita o dall’ingresso in famiglia</w:t>
            </w:r>
          </w:p>
        </w:tc>
        <w:tc>
          <w:tcPr>
            <w:tcW w:w="3210" w:type="dxa"/>
          </w:tcPr>
          <w:p w14:paraId="086B6319" w14:textId="4ECEC7B4" w:rsidR="004B3C8B" w:rsidRPr="00CC00D4" w:rsidRDefault="004B3C8B" w:rsidP="00634069">
            <w:pPr>
              <w:pStyle w:val="Standard"/>
              <w:spacing w:before="60" w:after="60" w:line="326" w:lineRule="auto"/>
              <w:jc w:val="center"/>
              <w:rPr>
                <w:rFonts w:ascii="Tahoma" w:hAnsi="Tahoma" w:cs="Tahoma"/>
                <w:kern w:val="0"/>
                <w:sz w:val="20"/>
                <w:szCs w:val="20"/>
              </w:rPr>
            </w:pPr>
            <w:r w:rsidRPr="00CC00D4">
              <w:rPr>
                <w:rFonts w:ascii="Tahoma" w:hAnsi="Tahoma" w:cs="Tahoma"/>
                <w:kern w:val="0"/>
                <w:sz w:val="20"/>
                <w:szCs w:val="20"/>
              </w:rPr>
              <w:t>9 mesi da fruire entro i 12 anni di vita o dall’ingresso in famiglia</w:t>
            </w:r>
          </w:p>
        </w:tc>
      </w:tr>
    </w:tbl>
    <w:p w14:paraId="6BD375A9" w14:textId="77777777" w:rsidR="004B3C8B" w:rsidRPr="00CC00D4" w:rsidRDefault="004B3C8B" w:rsidP="00170A6A">
      <w:pPr>
        <w:pStyle w:val="Standard"/>
        <w:spacing w:after="200" w:line="360" w:lineRule="auto"/>
        <w:jc w:val="both"/>
        <w:rPr>
          <w:rFonts w:ascii="Tahoma" w:hAnsi="Tahoma" w:cs="Tahoma"/>
          <w:kern w:val="0"/>
          <w:sz w:val="20"/>
          <w:szCs w:val="20"/>
        </w:rPr>
      </w:pPr>
    </w:p>
    <w:p w14:paraId="544445DC" w14:textId="77777777" w:rsidR="00634069" w:rsidRPr="00CC00D4" w:rsidRDefault="00634069">
      <w:pPr>
        <w:suppressAutoHyphens w:val="0"/>
        <w:spacing w:after="0" w:line="240" w:lineRule="auto"/>
        <w:jc w:val="left"/>
        <w:rPr>
          <w:rFonts w:cs="Cambria"/>
          <w:b/>
          <w:bCs/>
          <w:i/>
          <w:sz w:val="22"/>
          <w:szCs w:val="32"/>
          <w:u w:val="single"/>
        </w:rPr>
      </w:pPr>
      <w:bookmarkStart w:id="287" w:name="__RefHeading__4526_1479815270"/>
      <w:bookmarkStart w:id="288" w:name="_Toc92386529"/>
      <w:r w:rsidRPr="00CC00D4">
        <w:br w:type="page"/>
      </w:r>
    </w:p>
    <w:p w14:paraId="52932868" w14:textId="45B53879" w:rsidR="002558B3" w:rsidRPr="00CC00D4" w:rsidRDefault="002558B3" w:rsidP="00F14C98">
      <w:pPr>
        <w:pStyle w:val="Titolo3"/>
        <w:rPr>
          <w:u w:val="none"/>
        </w:rPr>
      </w:pPr>
      <w:bookmarkStart w:id="289" w:name="_Toc124266298"/>
      <w:r w:rsidRPr="00CC00D4">
        <w:lastRenderedPageBreak/>
        <w:t>4.4.3 Condizioni</w:t>
      </w:r>
      <w:bookmarkEnd w:id="287"/>
      <w:bookmarkEnd w:id="288"/>
      <w:bookmarkEnd w:id="289"/>
    </w:p>
    <w:p w14:paraId="7281F94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congedo parentale nel primo anno di vita del bambino spetta a condizione di:</w:t>
      </w:r>
    </w:p>
    <w:p w14:paraId="7F449D96" w14:textId="77777777" w:rsidR="002558B3" w:rsidRPr="00CC00D4" w:rsidRDefault="002558B3">
      <w:pPr>
        <w:pStyle w:val="Paragrafoelenco"/>
        <w:numPr>
          <w:ilvl w:val="0"/>
          <w:numId w:val="132"/>
        </w:numPr>
        <w:autoSpaceDN w:val="0"/>
        <w:ind w:left="709" w:hanging="357"/>
        <w:contextualSpacing/>
        <w:textAlignment w:val="baseline"/>
        <w:rPr>
          <w:rFonts w:cs="Tahoma"/>
          <w:szCs w:val="20"/>
        </w:rPr>
      </w:pPr>
      <w:r w:rsidRPr="00CC00D4">
        <w:rPr>
          <w:rFonts w:cs="Tahoma"/>
          <w:szCs w:val="20"/>
        </w:rPr>
        <w:t>Aver versato almeno una mensilità di contribuzione maggiorata (0,72%) nei 12 mesi che precedono l’inizio del periodo indennizzabile, in questo caso l’indennità è pari al 30% del reddito di lavoro su cui è calcolato il contributo dello 0,72%, determinato con le stesse modalità utilizzate per l’indennità di maternità;</w:t>
      </w:r>
    </w:p>
    <w:p w14:paraId="065E7550" w14:textId="77777777" w:rsidR="002558B3" w:rsidRPr="00CC00D4" w:rsidRDefault="002558B3">
      <w:pPr>
        <w:pStyle w:val="Paragrafoelenco"/>
        <w:numPr>
          <w:ilvl w:val="0"/>
          <w:numId w:val="132"/>
        </w:numPr>
        <w:autoSpaceDN w:val="0"/>
        <w:ind w:left="709"/>
        <w:textAlignment w:val="baseline"/>
        <w:rPr>
          <w:rFonts w:cs="Tahoma"/>
          <w:szCs w:val="20"/>
        </w:rPr>
      </w:pPr>
      <w:r w:rsidRPr="00CC00D4">
        <w:rPr>
          <w:rFonts w:cs="Tahoma"/>
          <w:szCs w:val="20"/>
        </w:rPr>
        <w:t>In alternativa, essere in possesso del titolo per l’indennità di maternità o paternità, in questo frangente l</w:t>
      </w:r>
      <w:r w:rsidR="00F32F1F" w:rsidRPr="00CC00D4">
        <w:rPr>
          <w:rFonts w:cs="Tahoma"/>
          <w:szCs w:val="20"/>
        </w:rPr>
        <w:t>a prestazione</w:t>
      </w:r>
      <w:r w:rsidRPr="00CC00D4">
        <w:rPr>
          <w:rFonts w:cs="Tahoma"/>
          <w:szCs w:val="20"/>
        </w:rPr>
        <w:t xml:space="preserve"> è pari al 30% del reddito considerato per l’indennità di maternità o paternità.</w:t>
      </w:r>
    </w:p>
    <w:p w14:paraId="70C72E3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Nel secondo e terzo anno di vita del bambino, il congedo parentale spetta con il versamento di almeno una mensilità di contribuzione maggiorata (0,72%) nei dodici mesi precedenti l’inizio del periodo indennizzato. Per ciascuna giornata di congedo, si ha diritto al 30% del reddito di lavoro relativo al contributo dello 0,72%, calcolato con le stesse modalità dell’indennità di maternità.  </w:t>
      </w:r>
    </w:p>
    <w:p w14:paraId="2445D27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Da ultimo, la prestazione INPS spetta a patto che:</w:t>
      </w:r>
    </w:p>
    <w:p w14:paraId="25A92130" w14:textId="77777777" w:rsidR="002558B3" w:rsidRPr="00CC00D4" w:rsidRDefault="002558B3">
      <w:pPr>
        <w:pStyle w:val="Paragrafoelenco"/>
        <w:numPr>
          <w:ilvl w:val="0"/>
          <w:numId w:val="133"/>
        </w:numPr>
        <w:autoSpaceDN w:val="0"/>
        <w:ind w:left="709" w:hanging="357"/>
        <w:contextualSpacing/>
        <w:textAlignment w:val="baseline"/>
        <w:rPr>
          <w:rFonts w:cs="Tahoma"/>
          <w:szCs w:val="20"/>
        </w:rPr>
      </w:pPr>
      <w:r w:rsidRPr="00CC00D4">
        <w:rPr>
          <w:rFonts w:cs="Tahoma"/>
          <w:szCs w:val="20"/>
        </w:rPr>
        <w:t>Sussista un rapporto di lavoro ancora in corso di validità;</w:t>
      </w:r>
    </w:p>
    <w:p w14:paraId="770A15E8" w14:textId="5CC2278B" w:rsidR="002558B3" w:rsidRPr="00CC00D4" w:rsidRDefault="002558B3" w:rsidP="002558B3">
      <w:pPr>
        <w:pStyle w:val="Paragrafoelenco"/>
        <w:numPr>
          <w:ilvl w:val="0"/>
          <w:numId w:val="133"/>
        </w:numPr>
        <w:autoSpaceDN w:val="0"/>
        <w:ind w:left="709"/>
        <w:textAlignment w:val="baseline"/>
        <w:rPr>
          <w:rFonts w:cs="Tahoma"/>
          <w:szCs w:val="20"/>
        </w:rPr>
      </w:pPr>
      <w:r w:rsidRPr="00CC00D4">
        <w:rPr>
          <w:rFonts w:cs="Tahoma"/>
          <w:szCs w:val="20"/>
        </w:rPr>
        <w:t>Il beneficiario di astenga effettivamente dall’attività lavorativa.</w:t>
      </w:r>
    </w:p>
    <w:p w14:paraId="1F73F729" w14:textId="77777777" w:rsidR="00F14C98" w:rsidRPr="00CC00D4" w:rsidRDefault="00F14C98" w:rsidP="00F14C98">
      <w:pPr>
        <w:autoSpaceDN w:val="0"/>
        <w:textAlignment w:val="baseline"/>
        <w:rPr>
          <w:rFonts w:cs="Tahoma"/>
          <w:szCs w:val="20"/>
        </w:rPr>
      </w:pPr>
    </w:p>
    <w:p w14:paraId="58F74A49" w14:textId="37899C11" w:rsidR="002558B3" w:rsidRPr="00CC00D4" w:rsidRDefault="002558B3" w:rsidP="00F14C98">
      <w:pPr>
        <w:pStyle w:val="Titolo3"/>
      </w:pPr>
      <w:bookmarkStart w:id="290" w:name="__RefHeading__4528_1479815270"/>
      <w:bookmarkStart w:id="291" w:name="_Toc92386530"/>
      <w:bookmarkStart w:id="292" w:name="_Toc124266299"/>
      <w:r w:rsidRPr="00CC00D4">
        <w:t>4.4.4 Contribuzione figurativa</w:t>
      </w:r>
      <w:bookmarkEnd w:id="290"/>
      <w:bookmarkEnd w:id="291"/>
      <w:bookmarkEnd w:id="292"/>
    </w:p>
    <w:p w14:paraId="21E9A6A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Per i periodi di congedo parentale è previsto l’accredito della contribuzione figurativa.  </w:t>
      </w:r>
      <w:commentRangeEnd w:id="283"/>
      <w:r w:rsidR="00C42B05" w:rsidRPr="00CC00D4">
        <w:rPr>
          <w:rStyle w:val="Rimandocommento"/>
          <w:rFonts w:ascii="Calibri" w:hAnsi="Calibri" w:cs="F"/>
          <w:color w:val="auto"/>
          <w:kern w:val="3"/>
          <w:lang w:eastAsia="it-IT" w:bidi="ar-SA"/>
        </w:rPr>
        <w:commentReference w:id="283"/>
      </w:r>
    </w:p>
    <w:p w14:paraId="1BABA0ED"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22495D6C" w14:textId="2B9764E8" w:rsidR="002558B3" w:rsidRPr="00CC00D4" w:rsidRDefault="002558B3" w:rsidP="00F14C98">
      <w:pPr>
        <w:pStyle w:val="Titolo2"/>
      </w:pPr>
      <w:bookmarkStart w:id="293" w:name="__RefHeading__4530_1479815270"/>
      <w:bookmarkStart w:id="294" w:name="_Toc92386531"/>
      <w:bookmarkStart w:id="295" w:name="_Toc124266300"/>
      <w:r w:rsidRPr="00CC00D4">
        <w:t>4.5 Assegno Nucleo Familiare</w:t>
      </w:r>
      <w:bookmarkEnd w:id="293"/>
      <w:bookmarkEnd w:id="294"/>
      <w:bookmarkEnd w:id="295"/>
    </w:p>
    <w:p w14:paraId="7391A9F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lavoratori autonomi occasionali iscritti in via esclusiva alla Gestione Separata (articolo 59 comma 16 Legge 27 dicembre 1997 numero 449, articolo 80 comma 12 Legge 23 dicembre 2000 numero 388, Decreto del Ministero del Lavoro e delle Politiche Sociali 4 aprile 2002) hanno diritto agli Assegni per il Nucleo Familiare (ANF).</w:t>
      </w:r>
    </w:p>
    <w:p w14:paraId="363319C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pertanto potenzialmente beneficiari della prestazione i collaboratori per i quali è prevista l’aliquota contributiva dello 0,72%.</w:t>
      </w:r>
    </w:p>
    <w:p w14:paraId="6170395C"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w:t>
      </w:r>
      <w:r w:rsidR="002558B3" w:rsidRPr="00CC00D4">
        <w:rPr>
          <w:rFonts w:ascii="Tahoma" w:hAnsi="Tahoma" w:cs="Tahoma"/>
          <w:bCs/>
          <w:kern w:val="0"/>
          <w:sz w:val="20"/>
          <w:szCs w:val="20"/>
        </w:rPr>
        <w:t xml:space="preserve"> altresì richiesto il versamento dei contributi previdenziali per l’intero periodo di erogazione degli ANF.</w:t>
      </w:r>
    </w:p>
    <w:p w14:paraId="2955715D"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p>
    <w:p w14:paraId="4DEAC8B0" w14:textId="5BCD8918" w:rsidR="002558B3" w:rsidRPr="00CC00D4" w:rsidRDefault="002558B3" w:rsidP="00F14C98">
      <w:pPr>
        <w:pStyle w:val="Titolo3"/>
      </w:pPr>
      <w:bookmarkStart w:id="296" w:name="__RefHeading__4532_1479815270"/>
      <w:bookmarkStart w:id="297" w:name="_Toc92386532"/>
      <w:bookmarkStart w:id="298" w:name="_Toc124266301"/>
      <w:r w:rsidRPr="00CC00D4">
        <w:lastRenderedPageBreak/>
        <w:t>4.5.1 Requisiti economici</w:t>
      </w:r>
      <w:bookmarkEnd w:id="296"/>
      <w:bookmarkEnd w:id="297"/>
      <w:bookmarkEnd w:id="298"/>
    </w:p>
    <w:p w14:paraId="4321E1D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prestazione in parola spetta quando la somma dei redditi derivanti dalle attività indicate all’articolo 2 comma 26 della Legge 8 agosto 1995 numero 335 è pari almeno al 70% del reddito complessivo del nucleo familiare.</w:t>
      </w:r>
    </w:p>
    <w:p w14:paraId="05E240D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Tra i redditi contemplati dall’articolo 2 comma 26 troviamo:</w:t>
      </w:r>
    </w:p>
    <w:p w14:paraId="53DE2702" w14:textId="77777777" w:rsidR="002558B3" w:rsidRPr="00CC00D4" w:rsidRDefault="002558B3">
      <w:pPr>
        <w:pStyle w:val="Paragrafoelenco"/>
        <w:numPr>
          <w:ilvl w:val="0"/>
          <w:numId w:val="160"/>
        </w:numPr>
        <w:autoSpaceDN w:val="0"/>
        <w:ind w:left="709" w:hanging="357"/>
        <w:contextualSpacing/>
        <w:textAlignment w:val="baseline"/>
        <w:rPr>
          <w:rFonts w:cs="Tahoma"/>
          <w:szCs w:val="20"/>
        </w:rPr>
      </w:pPr>
      <w:r w:rsidRPr="00CC00D4">
        <w:rPr>
          <w:rFonts w:cs="Tahoma"/>
          <w:bCs/>
          <w:szCs w:val="20"/>
        </w:rPr>
        <w:t>Lavoratori autonomi occasionali;</w:t>
      </w:r>
    </w:p>
    <w:p w14:paraId="0C8B6CB1" w14:textId="77777777" w:rsidR="002558B3" w:rsidRPr="00CC00D4" w:rsidRDefault="002558B3">
      <w:pPr>
        <w:pStyle w:val="Paragrafoelenco"/>
        <w:numPr>
          <w:ilvl w:val="0"/>
          <w:numId w:val="160"/>
        </w:numPr>
        <w:autoSpaceDN w:val="0"/>
        <w:ind w:left="709" w:hanging="357"/>
        <w:contextualSpacing/>
        <w:textAlignment w:val="baseline"/>
        <w:rPr>
          <w:rFonts w:cs="Tahoma"/>
          <w:szCs w:val="20"/>
        </w:rPr>
      </w:pPr>
      <w:r w:rsidRPr="00CC00D4">
        <w:rPr>
          <w:rFonts w:cs="Tahoma"/>
          <w:bCs/>
          <w:szCs w:val="20"/>
        </w:rPr>
        <w:t>Titolari di rapporti di collaborazione coordinata e continuativa;</w:t>
      </w:r>
    </w:p>
    <w:p w14:paraId="5BD58A88" w14:textId="77777777" w:rsidR="002558B3" w:rsidRPr="00CC00D4" w:rsidRDefault="002558B3">
      <w:pPr>
        <w:pStyle w:val="Paragrafoelenco"/>
        <w:numPr>
          <w:ilvl w:val="0"/>
          <w:numId w:val="160"/>
        </w:numPr>
        <w:autoSpaceDN w:val="0"/>
        <w:ind w:left="709"/>
        <w:textAlignment w:val="baseline"/>
        <w:rPr>
          <w:rFonts w:cs="Tahoma"/>
          <w:szCs w:val="20"/>
        </w:rPr>
      </w:pPr>
      <w:r w:rsidRPr="00CC00D4">
        <w:rPr>
          <w:rFonts w:cs="Tahoma"/>
          <w:bCs/>
          <w:szCs w:val="20"/>
        </w:rPr>
        <w:t>Incaricati delle vendite a domicilio.</w:t>
      </w:r>
    </w:p>
    <w:p w14:paraId="2A30612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Ai sensi dell’articolo 5 del Decreto ministeriale del 4 aprile 2002 l’assegno spetta “</w:t>
      </w:r>
      <w:r w:rsidRPr="00CC00D4">
        <w:rPr>
          <w:rFonts w:ascii="Tahoma" w:hAnsi="Tahoma" w:cs="Tahoma"/>
          <w:bCs/>
          <w:i/>
          <w:iCs/>
          <w:kern w:val="0"/>
          <w:sz w:val="20"/>
          <w:szCs w:val="20"/>
        </w:rPr>
        <w:t>anche al nucleo a composizione reddituale mista che raggiunga il requisito del 70 per cento del reddito complessivo</w:t>
      </w:r>
      <w:r w:rsidRPr="00CC00D4">
        <w:rPr>
          <w:rFonts w:ascii="Tahoma" w:hAnsi="Tahoma" w:cs="Tahoma"/>
          <w:bCs/>
          <w:kern w:val="0"/>
          <w:sz w:val="20"/>
          <w:szCs w:val="20"/>
        </w:rPr>
        <w:t>” grazie alla somma di:</w:t>
      </w:r>
    </w:p>
    <w:p w14:paraId="1D0B84D6" w14:textId="77777777" w:rsidR="002558B3" w:rsidRPr="00CC00D4" w:rsidRDefault="002558B3">
      <w:pPr>
        <w:pStyle w:val="Paragrafoelenco"/>
        <w:numPr>
          <w:ilvl w:val="0"/>
          <w:numId w:val="161"/>
        </w:numPr>
        <w:autoSpaceDN w:val="0"/>
        <w:ind w:left="709" w:hanging="357"/>
        <w:contextualSpacing/>
        <w:textAlignment w:val="baseline"/>
        <w:rPr>
          <w:rFonts w:cs="Tahoma"/>
          <w:szCs w:val="20"/>
        </w:rPr>
      </w:pPr>
      <w:r w:rsidRPr="00CC00D4">
        <w:rPr>
          <w:rFonts w:cs="Tahoma"/>
          <w:bCs/>
          <w:szCs w:val="20"/>
        </w:rPr>
        <w:t>Redditi da lavoro dipendente;</w:t>
      </w:r>
    </w:p>
    <w:p w14:paraId="5DF3C8A7" w14:textId="77777777" w:rsidR="002558B3" w:rsidRPr="00CC00D4" w:rsidRDefault="002558B3">
      <w:pPr>
        <w:pStyle w:val="Paragrafoelenco"/>
        <w:numPr>
          <w:ilvl w:val="0"/>
          <w:numId w:val="161"/>
        </w:numPr>
        <w:autoSpaceDN w:val="0"/>
        <w:ind w:left="709"/>
        <w:textAlignment w:val="baseline"/>
        <w:rPr>
          <w:rFonts w:cs="Tahoma"/>
          <w:szCs w:val="20"/>
        </w:rPr>
      </w:pPr>
      <w:r w:rsidRPr="00CC00D4">
        <w:rPr>
          <w:rFonts w:cs="Tahoma"/>
          <w:bCs/>
          <w:szCs w:val="20"/>
        </w:rPr>
        <w:t>Redditi contemplati all’articolo 2 comma 26 della Legge 8 agosto 1995 numero 335.</w:t>
      </w:r>
    </w:p>
    <w:p w14:paraId="6C65905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In particolare, la soglia percentuale può essere raggiunta anche se i redditi derivano esclusivamente da lavoro dipendente o, al contrario, da rapporti di co.co.co / lavoro autonomo occasionale.  </w:t>
      </w:r>
    </w:p>
    <w:p w14:paraId="0F60875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Peraltro, come chiarito dalla Circolare INPS 16 febbraio 2006 numero 25, il diritto alla prestazione viene riconosciuto anche qualora “</w:t>
      </w:r>
      <w:r w:rsidRPr="00CC00D4">
        <w:rPr>
          <w:rFonts w:ascii="Tahoma" w:hAnsi="Tahoma" w:cs="Tahoma"/>
          <w:bCs/>
          <w:i/>
          <w:iCs/>
          <w:kern w:val="0"/>
          <w:sz w:val="20"/>
          <w:szCs w:val="20"/>
        </w:rPr>
        <w:t>nell’anno di riferimento il reddito di qualsiasi natura, del nucleo del richiedente, sia uguale a zero ovvero risultino solo redditi negativi</w:t>
      </w:r>
      <w:r w:rsidRPr="00CC00D4">
        <w:rPr>
          <w:rFonts w:ascii="Tahoma" w:hAnsi="Tahoma" w:cs="Tahoma"/>
          <w:bCs/>
          <w:kern w:val="0"/>
          <w:sz w:val="20"/>
          <w:szCs w:val="20"/>
        </w:rPr>
        <w:t>”.</w:t>
      </w:r>
    </w:p>
    <w:p w14:paraId="0534238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reddito familiare da prendere a riferimento è quello relativo all’anno solare precedente il 1° luglio di ciascun anno.</w:t>
      </w:r>
    </w:p>
    <w:p w14:paraId="3C443B4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Ipotizziamo il lavoratore autonomo Tizio il quale presenta richiesta di ANF a febbraio 2021 relativamente al periodo 1° gennaio 2020 – 31 dicembre 2020. Il reddito da assumere a riferimento sarà:</w:t>
      </w:r>
    </w:p>
    <w:p w14:paraId="20A3CE78" w14:textId="77777777" w:rsidR="002558B3" w:rsidRPr="00CC00D4" w:rsidRDefault="002558B3">
      <w:pPr>
        <w:pStyle w:val="Paragrafoelenco"/>
        <w:numPr>
          <w:ilvl w:val="0"/>
          <w:numId w:val="155"/>
        </w:numPr>
        <w:autoSpaceDN w:val="0"/>
        <w:ind w:left="709" w:hanging="357"/>
        <w:contextualSpacing/>
        <w:textAlignment w:val="baseline"/>
        <w:rPr>
          <w:rFonts w:cs="Tahoma"/>
          <w:szCs w:val="20"/>
        </w:rPr>
      </w:pPr>
      <w:r w:rsidRPr="00CC00D4">
        <w:rPr>
          <w:rFonts w:cs="Tahoma"/>
          <w:bCs/>
          <w:szCs w:val="20"/>
        </w:rPr>
        <w:t>Il reddito 2018 per gli assegni familiari relativi al periodo 1° gennaio 2020 – 30 giugno 2020;</w:t>
      </w:r>
    </w:p>
    <w:p w14:paraId="47348EBC" w14:textId="77777777" w:rsidR="002558B3" w:rsidRPr="00CC00D4" w:rsidRDefault="002558B3">
      <w:pPr>
        <w:pStyle w:val="Paragrafoelenco"/>
        <w:numPr>
          <w:ilvl w:val="0"/>
          <w:numId w:val="155"/>
        </w:numPr>
        <w:autoSpaceDN w:val="0"/>
        <w:ind w:left="709"/>
        <w:textAlignment w:val="baseline"/>
        <w:rPr>
          <w:rFonts w:cs="Tahoma"/>
          <w:szCs w:val="20"/>
        </w:rPr>
      </w:pPr>
      <w:r w:rsidRPr="00CC00D4">
        <w:rPr>
          <w:rFonts w:cs="Tahoma"/>
          <w:bCs/>
          <w:szCs w:val="20"/>
        </w:rPr>
        <w:t>Il reddito 2019 per gli ANF riguardanti il lasso temporale 1° luglio 2020 – 31 dicembre 2020.</w:t>
      </w:r>
    </w:p>
    <w:p w14:paraId="4654A48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somme da considerare sono quelle conseguite dai componenti il nucleo familiare beneficiario, soggette ad IRPEF ed assunte al lordo di oneri deducibili, detrazioni d’imposta e trattenute fiscali.</w:t>
      </w:r>
    </w:p>
    <w:p w14:paraId="3838ADE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altresì compresi nel calcolo (se di importo complessivamente superiore ad euro 1.032,91) i redditi esenti da imposta o soggetti a ritenuta alla fonte a titolo di imposta o di imposta sostitutiva.</w:t>
      </w:r>
    </w:p>
    <w:p w14:paraId="71744F1B"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160BB6FF" w14:textId="7118E5FE" w:rsidR="002558B3" w:rsidRPr="00CC00D4" w:rsidRDefault="002558B3" w:rsidP="00F14C98">
      <w:pPr>
        <w:pStyle w:val="Titolo3"/>
      </w:pPr>
      <w:bookmarkStart w:id="299" w:name="__RefHeading__4534_1479815270"/>
      <w:bookmarkStart w:id="300" w:name="_Toc92386533"/>
      <w:bookmarkStart w:id="301" w:name="_Toc124266302"/>
      <w:r w:rsidRPr="00CC00D4">
        <w:lastRenderedPageBreak/>
        <w:t>4.5.2 Domanda</w:t>
      </w:r>
      <w:bookmarkEnd w:id="299"/>
      <w:bookmarkEnd w:id="300"/>
      <w:bookmarkEnd w:id="301"/>
    </w:p>
    <w:p w14:paraId="5A78159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Gli ANF spettano esclusivamente previa domanda dell’interessato presentata a partire dal 1° febbraio dell’anno successivo quello di competenza, attraverso il portale “</w:t>
      </w:r>
      <w:r w:rsidRPr="00CC00D4">
        <w:rPr>
          <w:rFonts w:ascii="Tahoma" w:hAnsi="Tahoma" w:cs="Tahoma"/>
          <w:bCs/>
          <w:i/>
          <w:iCs/>
          <w:kern w:val="0"/>
          <w:sz w:val="20"/>
          <w:szCs w:val="20"/>
        </w:rPr>
        <w:t>inps.it – Prestazioni e Servizi – Prestazioni – Assegno per il Nucleo Familiare per gli iscritti alla Gestione Separata</w:t>
      </w:r>
      <w:r w:rsidRPr="00CC00D4">
        <w:rPr>
          <w:rFonts w:ascii="Tahoma" w:hAnsi="Tahoma" w:cs="Tahoma"/>
          <w:bCs/>
          <w:kern w:val="0"/>
          <w:sz w:val="20"/>
          <w:szCs w:val="20"/>
        </w:rPr>
        <w:t>” per gli utenti in possesso delle credenziali:</w:t>
      </w:r>
    </w:p>
    <w:p w14:paraId="4BE17AEE" w14:textId="77777777" w:rsidR="002558B3" w:rsidRPr="00CC00D4" w:rsidRDefault="002558B3">
      <w:pPr>
        <w:pStyle w:val="Paragrafoelenco"/>
        <w:numPr>
          <w:ilvl w:val="0"/>
          <w:numId w:val="158"/>
        </w:numPr>
        <w:autoSpaceDN w:val="0"/>
        <w:ind w:left="709" w:hanging="357"/>
        <w:contextualSpacing/>
        <w:textAlignment w:val="baseline"/>
        <w:rPr>
          <w:rFonts w:cs="Tahoma"/>
          <w:szCs w:val="20"/>
        </w:rPr>
      </w:pPr>
      <w:r w:rsidRPr="00CC00D4">
        <w:rPr>
          <w:rFonts w:cs="Tahoma"/>
          <w:bCs/>
          <w:szCs w:val="20"/>
        </w:rPr>
        <w:t>SPID di livello 2 o superiore;</w:t>
      </w:r>
    </w:p>
    <w:p w14:paraId="2435C8F7" w14:textId="77777777" w:rsidR="002558B3" w:rsidRPr="00CC00D4" w:rsidRDefault="002558B3">
      <w:pPr>
        <w:pStyle w:val="Paragrafoelenco"/>
        <w:numPr>
          <w:ilvl w:val="0"/>
          <w:numId w:val="158"/>
        </w:numPr>
        <w:autoSpaceDN w:val="0"/>
        <w:ind w:left="709" w:hanging="357"/>
        <w:contextualSpacing/>
        <w:textAlignment w:val="baseline"/>
        <w:rPr>
          <w:rFonts w:cs="Tahoma"/>
          <w:szCs w:val="20"/>
        </w:rPr>
      </w:pPr>
      <w:r w:rsidRPr="00CC00D4">
        <w:rPr>
          <w:rFonts w:cs="Tahoma"/>
          <w:bCs/>
          <w:szCs w:val="20"/>
        </w:rPr>
        <w:t>Carta di identità elettronica 3.0 (CIE);</w:t>
      </w:r>
    </w:p>
    <w:p w14:paraId="3E6B70AA" w14:textId="77777777" w:rsidR="002558B3" w:rsidRPr="00CC00D4" w:rsidRDefault="002558B3">
      <w:pPr>
        <w:pStyle w:val="Paragrafoelenco"/>
        <w:numPr>
          <w:ilvl w:val="0"/>
          <w:numId w:val="158"/>
        </w:numPr>
        <w:autoSpaceDN w:val="0"/>
        <w:ind w:left="709"/>
        <w:textAlignment w:val="baseline"/>
        <w:rPr>
          <w:rFonts w:cs="Tahoma"/>
          <w:szCs w:val="20"/>
        </w:rPr>
      </w:pPr>
      <w:r w:rsidRPr="00CC00D4">
        <w:rPr>
          <w:rFonts w:cs="Tahoma"/>
          <w:bCs/>
          <w:szCs w:val="20"/>
        </w:rPr>
        <w:t>Carta Nazionale dei Servizi (CNS).</w:t>
      </w:r>
    </w:p>
    <w:p w14:paraId="3ACE07C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Limitatamente ai nuclei familiari in cui sono presenti, ad esempio, figli di genitori o componenti maggiorenni inabili nonché ai fini dell’aumento dei limiti reddituali (componente minorenne inabile) è necessario allegare alla domanda di ANF la documentazione cartacea a riprova delle condizioni particolari sopra citate.</w:t>
      </w:r>
    </w:p>
    <w:p w14:paraId="0D0DCF04"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65CB7EE1" w14:textId="3B7D2B98" w:rsidR="002558B3" w:rsidRPr="00CC00D4" w:rsidRDefault="002558B3" w:rsidP="00F14C98">
      <w:pPr>
        <w:pStyle w:val="Titolo3"/>
      </w:pPr>
      <w:bookmarkStart w:id="302" w:name="__RefHeading__4536_1479815270"/>
      <w:bookmarkStart w:id="303" w:name="_Toc92386534"/>
      <w:bookmarkStart w:id="304" w:name="_Toc124266303"/>
      <w:r w:rsidRPr="00CC00D4">
        <w:t>4.5.3 Pagamento</w:t>
      </w:r>
      <w:bookmarkEnd w:id="302"/>
      <w:bookmarkEnd w:id="303"/>
      <w:bookmarkEnd w:id="304"/>
    </w:p>
    <w:p w14:paraId="4ACF60F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pagamento degli Assegni per il Nucleo Familiare avviene direttamente da parte dell’INPS al beneficiario per tutti i periodi coperti da contribuzione sia effettiva che figurativa (al pari di quanto avviene per chi è assente in congedo di maternità / paternità o congedo parentale) senza prevedere in questo modo alcun coinvolgimento del committente, come previsto invece per i lavoratori dipendenti.</w:t>
      </w:r>
    </w:p>
    <w:p w14:paraId="10C6EA4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modalità di erogazione sono scelte dal beneficiario in sede di inoltro della domanda tra:</w:t>
      </w:r>
    </w:p>
    <w:p w14:paraId="3A164869" w14:textId="77777777" w:rsidR="002558B3" w:rsidRPr="00CC00D4" w:rsidRDefault="002558B3">
      <w:pPr>
        <w:pStyle w:val="Paragrafoelenco"/>
        <w:numPr>
          <w:ilvl w:val="0"/>
          <w:numId w:val="156"/>
        </w:numPr>
        <w:autoSpaceDN w:val="0"/>
        <w:ind w:left="709" w:hanging="357"/>
        <w:contextualSpacing/>
        <w:textAlignment w:val="baseline"/>
        <w:rPr>
          <w:rFonts w:cs="Tahoma"/>
          <w:szCs w:val="20"/>
        </w:rPr>
      </w:pPr>
      <w:r w:rsidRPr="00CC00D4">
        <w:rPr>
          <w:rFonts w:cs="Tahoma"/>
          <w:bCs/>
          <w:szCs w:val="20"/>
        </w:rPr>
        <w:t>Bonifico bancario su conto corrente;</w:t>
      </w:r>
    </w:p>
    <w:p w14:paraId="03E4BAD7" w14:textId="77777777" w:rsidR="002558B3" w:rsidRPr="00CC00D4" w:rsidRDefault="002558B3">
      <w:pPr>
        <w:pStyle w:val="Paragrafoelenco"/>
        <w:numPr>
          <w:ilvl w:val="0"/>
          <w:numId w:val="156"/>
        </w:numPr>
        <w:autoSpaceDN w:val="0"/>
        <w:ind w:left="709"/>
        <w:textAlignment w:val="baseline"/>
        <w:rPr>
          <w:rFonts w:cs="Tahoma"/>
          <w:szCs w:val="20"/>
        </w:rPr>
      </w:pPr>
      <w:r w:rsidRPr="00CC00D4">
        <w:rPr>
          <w:rFonts w:cs="Tahoma"/>
          <w:bCs/>
          <w:szCs w:val="20"/>
        </w:rPr>
        <w:t>In alternativa bonifico domiciliato presso gli uffici postali.</w:t>
      </w:r>
    </w:p>
    <w:p w14:paraId="78E083A6"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58276453" w14:textId="525DCE6E" w:rsidR="002558B3" w:rsidRPr="00CC00D4" w:rsidRDefault="002558B3" w:rsidP="00F14C98">
      <w:pPr>
        <w:pStyle w:val="Titolo3"/>
      </w:pPr>
      <w:bookmarkStart w:id="305" w:name="__RefHeading__4538_1479815270"/>
      <w:bookmarkStart w:id="306" w:name="_Toc92386535"/>
      <w:bookmarkStart w:id="307" w:name="_Toc124266304"/>
      <w:r w:rsidRPr="00CC00D4">
        <w:t>4.5.4 Importo</w:t>
      </w:r>
      <w:bookmarkEnd w:id="305"/>
      <w:bookmarkEnd w:id="306"/>
      <w:bookmarkEnd w:id="307"/>
    </w:p>
    <w:p w14:paraId="7A40A91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Gli importi degli ANF sono gli stessi fissati per i lavoratori dipendenti. Di conseguenza, la somma spettante è legata alle seguenti variabili:</w:t>
      </w:r>
    </w:p>
    <w:p w14:paraId="1DA357CF" w14:textId="77777777" w:rsidR="002558B3" w:rsidRPr="00CC00D4" w:rsidRDefault="002558B3">
      <w:pPr>
        <w:pStyle w:val="Paragrafoelenco"/>
        <w:numPr>
          <w:ilvl w:val="0"/>
          <w:numId w:val="157"/>
        </w:numPr>
        <w:autoSpaceDN w:val="0"/>
        <w:ind w:left="709" w:hanging="357"/>
        <w:contextualSpacing/>
        <w:textAlignment w:val="baseline"/>
        <w:rPr>
          <w:rFonts w:cs="Tahoma"/>
          <w:szCs w:val="20"/>
        </w:rPr>
      </w:pPr>
      <w:r w:rsidRPr="00CC00D4">
        <w:rPr>
          <w:rFonts w:cs="Tahoma"/>
          <w:bCs/>
          <w:szCs w:val="20"/>
        </w:rPr>
        <w:t>Numero e caratteristiche dei componenti il nucleo familiare;</w:t>
      </w:r>
    </w:p>
    <w:p w14:paraId="1E6C5746" w14:textId="77777777" w:rsidR="002558B3" w:rsidRPr="00CC00D4" w:rsidRDefault="002558B3">
      <w:pPr>
        <w:pStyle w:val="Paragrafoelenco"/>
        <w:numPr>
          <w:ilvl w:val="0"/>
          <w:numId w:val="157"/>
        </w:numPr>
        <w:autoSpaceDN w:val="0"/>
        <w:ind w:left="709"/>
        <w:textAlignment w:val="baseline"/>
        <w:rPr>
          <w:rFonts w:cs="Tahoma"/>
          <w:szCs w:val="20"/>
        </w:rPr>
      </w:pPr>
      <w:r w:rsidRPr="00CC00D4">
        <w:rPr>
          <w:rFonts w:cs="Tahoma"/>
          <w:bCs/>
          <w:szCs w:val="20"/>
        </w:rPr>
        <w:t>Reddito complessivo del nucleo familiare.</w:t>
      </w:r>
    </w:p>
    <w:p w14:paraId="3D5CDF5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tabelle reddituali di riferimento per il calcolo degli assegni vengono pubblicate annualmente dall’INPS a valere per il periodo 1° luglio – 30 giugno dell’anno successivo.</w:t>
      </w:r>
    </w:p>
    <w:p w14:paraId="2EEFD37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Con riferimento all’anno corrente (1° luglio 2021 – 30 giugno 2022) il </w:t>
      </w:r>
      <w:hyperlink r:id="rId40" w:history="1">
        <w:r w:rsidRPr="00CC00D4">
          <w:rPr>
            <w:rStyle w:val="Collegamentoipertestuale"/>
            <w:rFonts w:ascii="Tahoma" w:hAnsi="Tahoma" w:cs="Tahoma"/>
            <w:bCs/>
            <w:kern w:val="0"/>
            <w:sz w:val="20"/>
            <w:szCs w:val="20"/>
          </w:rPr>
          <w:t xml:space="preserve">messaggio dell’Istituto del 17 giugno </w:t>
        </w:r>
        <w:r w:rsidRPr="00CC00D4">
          <w:rPr>
            <w:rStyle w:val="Collegamentoipertestuale"/>
            <w:rFonts w:ascii="Tahoma" w:hAnsi="Tahoma" w:cs="Tahoma"/>
            <w:bCs/>
            <w:kern w:val="0"/>
            <w:sz w:val="20"/>
            <w:szCs w:val="20"/>
          </w:rPr>
          <w:lastRenderedPageBreak/>
          <w:t>2021 numero 2331</w:t>
        </w:r>
      </w:hyperlink>
      <w:r w:rsidRPr="00CC00D4">
        <w:rPr>
          <w:rFonts w:ascii="Tahoma" w:hAnsi="Tahoma" w:cs="Tahoma"/>
          <w:bCs/>
          <w:kern w:val="0"/>
          <w:sz w:val="20"/>
          <w:szCs w:val="20"/>
        </w:rPr>
        <w:t xml:space="preserve"> ha comunicato i livelli di reddito familiare aggiornati e rivalutati “</w:t>
      </w:r>
      <w:r w:rsidRPr="00CC00D4">
        <w:rPr>
          <w:rFonts w:ascii="Tahoma" w:hAnsi="Tahoma" w:cs="Tahoma"/>
          <w:bCs/>
          <w:i/>
          <w:iCs/>
          <w:kern w:val="0"/>
          <w:sz w:val="20"/>
          <w:szCs w:val="20"/>
        </w:rPr>
        <w:t>in misura pari alla variazione percentuale dell’indice dei prezzi al consumo per le famiglie di operai e impiegati, calcolato dall’ISTAT, intervenuta tra l’anno di riferimento dei redditi per la corresponsione dell’assegno e l’anno immediatamente precedente</w:t>
      </w:r>
      <w:r w:rsidRPr="00CC00D4">
        <w:rPr>
          <w:rFonts w:ascii="Tahoma" w:hAnsi="Tahoma" w:cs="Tahoma"/>
          <w:bCs/>
          <w:kern w:val="0"/>
          <w:sz w:val="20"/>
          <w:szCs w:val="20"/>
        </w:rPr>
        <w:t>”.</w:t>
      </w:r>
    </w:p>
    <w:p w14:paraId="41900FB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tabelle (allegato 1 del messaggio INPS) si distinguono in:</w:t>
      </w:r>
    </w:p>
    <w:p w14:paraId="4EB79BA6"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bCs/>
          <w:szCs w:val="20"/>
        </w:rPr>
        <w:t>Tabella 11, per i nuclei familiare in cui sono presenti entrambi i genitori ed almeno un figlio minore senza componenti inabili;</w:t>
      </w:r>
    </w:p>
    <w:p w14:paraId="74DB03AC"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bCs/>
          <w:szCs w:val="20"/>
        </w:rPr>
        <w:t>Tabella 12, riservata ai nuclei familiari con un solo genitore, almeno un figlio minore e nessun componente inabile;</w:t>
      </w:r>
    </w:p>
    <w:p w14:paraId="1128CB8F"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bCs/>
          <w:szCs w:val="20"/>
        </w:rPr>
        <w:t>Tabella 13, per i nuclei familiari orfanili composti unicamente da minori non inabili;</w:t>
      </w:r>
    </w:p>
    <w:p w14:paraId="6515D9FB"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bCs/>
          <w:szCs w:val="20"/>
        </w:rPr>
        <w:t>Tabella 14, nuclei con entrambi i genitori, almeno un figlio minore ed almeno un componente inabile, nonché famiglie con entrambi i genitori, senza figli minori ed almeno un componente maggiorenne inabile;</w:t>
      </w:r>
    </w:p>
    <w:p w14:paraId="12585265"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bCs/>
          <w:szCs w:val="20"/>
        </w:rPr>
        <w:t>Tabella 15, nuclei familiari con un solo genitore, almeno un figlio minore ed un componente inabile ovvero nuclei con un solo genitore, senza figli minori ed almeno un componente maggiorenne inabile;</w:t>
      </w:r>
    </w:p>
    <w:p w14:paraId="615DA8DB"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16 da applicare in caso di nuclei familiari orfanili in cui sia presente almeno un minore ed un componente inabile;</w:t>
      </w:r>
    </w:p>
    <w:p w14:paraId="6123D44A"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19 per i nuclei familiari orfanili composti solo da maggiorenni inabili;</w:t>
      </w:r>
    </w:p>
    <w:p w14:paraId="369408F4"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20A riservata ai nuclei familiari con entrambi i coniugi e senza figli, in presenza di almeno un fratello, sorella o nipote inabile;</w:t>
      </w:r>
    </w:p>
    <w:p w14:paraId="68284BF5"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20B per le famiglie monoparentali senza figli in cui sia presente almeno un fratello, sorella o nipote inabile (in tal caso il soggetto richiedente dev’essere celibe / nubile, separato / a, divorziato / a, vedovo / a, abbandonato / a, straniero / a con coniuge residente in un Paese estero non convenzionato);</w:t>
      </w:r>
    </w:p>
    <w:p w14:paraId="6CF6F59B"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21A per i nuclei familiari senza figli (con i soli coniugi ovvero entrambi i coniugi ed almeno un fratello, sorella o nipote) in cui non siano presenti componenti inabili;</w:t>
      </w:r>
    </w:p>
    <w:p w14:paraId="593921F6"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21B per i nuclei monoparentali (il soggetto richiedente dev’essere celibe / nubile, separato / a, divorziato / a, vedovo / a, abbandonato / a, straniero / a con coniuge residente in un Paese estero non convenzionato) senza figli e con almeno un fratello, sorella o nipote (in cui non siano presenti componenti inabili);</w:t>
      </w:r>
    </w:p>
    <w:p w14:paraId="7FD8AE82" w14:textId="77777777" w:rsidR="002558B3" w:rsidRPr="00CC00D4" w:rsidRDefault="002558B3">
      <w:pPr>
        <w:pStyle w:val="Paragrafoelenco"/>
        <w:numPr>
          <w:ilvl w:val="0"/>
          <w:numId w:val="159"/>
        </w:numPr>
        <w:autoSpaceDN w:val="0"/>
        <w:ind w:left="709" w:hanging="357"/>
        <w:contextualSpacing/>
        <w:textAlignment w:val="baseline"/>
        <w:rPr>
          <w:rFonts w:cs="Tahoma"/>
          <w:szCs w:val="20"/>
        </w:rPr>
      </w:pPr>
      <w:r w:rsidRPr="00CC00D4">
        <w:rPr>
          <w:rFonts w:cs="Tahoma"/>
          <w:szCs w:val="20"/>
        </w:rPr>
        <w:t>Tabella 21C per i nuclei familiari senza figli (presenza dei soli coniugi o di entrambi i coniugi ed almeno un fratello, sorella o nipote) con almeno un coniuge inabile e nessun altro componente inabile;</w:t>
      </w:r>
    </w:p>
    <w:p w14:paraId="36ABB0C1" w14:textId="77777777" w:rsidR="002558B3" w:rsidRPr="00CC00D4" w:rsidRDefault="002558B3">
      <w:pPr>
        <w:pStyle w:val="Paragrafoelenco"/>
        <w:numPr>
          <w:ilvl w:val="0"/>
          <w:numId w:val="159"/>
        </w:numPr>
        <w:autoSpaceDN w:val="0"/>
        <w:ind w:left="709"/>
        <w:textAlignment w:val="baseline"/>
        <w:rPr>
          <w:rFonts w:cs="Tahoma"/>
          <w:szCs w:val="20"/>
        </w:rPr>
      </w:pPr>
      <w:r w:rsidRPr="00CC00D4">
        <w:rPr>
          <w:rFonts w:cs="Tahoma"/>
          <w:szCs w:val="20"/>
        </w:rPr>
        <w:lastRenderedPageBreak/>
        <w:t>Tabella 21D per i nuclei monoparentali (soggetto richiedente inabile ed altresì celibe / nubile, separato / a, divorziato / a, vedovo / a, abbandonato / a, straniero / a con coniuge residente in un Paese estero non convenzionato) senza figli, con almeno un fratello, sorella o nipote.</w:t>
      </w:r>
    </w:p>
    <w:p w14:paraId="73A8BBF2" w14:textId="77777777" w:rsidR="00781C56" w:rsidRPr="00CC00D4" w:rsidRDefault="00000000" w:rsidP="002558B3">
      <w:pPr>
        <w:pStyle w:val="Standard"/>
        <w:spacing w:after="200" w:line="360" w:lineRule="auto"/>
        <w:jc w:val="both"/>
        <w:rPr>
          <w:rFonts w:ascii="Tahoma" w:hAnsi="Tahoma" w:cs="Tahoma"/>
          <w:b/>
          <w:bCs/>
          <w:kern w:val="0"/>
          <w:sz w:val="20"/>
          <w:szCs w:val="20"/>
        </w:rPr>
      </w:pPr>
      <w:hyperlink r:id="rId41" w:history="1">
        <w:r w:rsidR="00781C56" w:rsidRPr="00CC00D4">
          <w:rPr>
            <w:rStyle w:val="Collegamentoipertestuale"/>
            <w:rFonts w:ascii="Tahoma" w:hAnsi="Tahoma" w:cs="Tahoma"/>
            <w:b/>
            <w:bCs/>
            <w:kern w:val="0"/>
            <w:sz w:val="20"/>
            <w:szCs w:val="20"/>
          </w:rPr>
          <w:t>[ALLEGATO “TABELLE ANF 2021 – 2022”]</w:t>
        </w:r>
      </w:hyperlink>
    </w:p>
    <w:p w14:paraId="2B3F18F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Una volta individuata la tabella, sarà sufficiente prendere a riferimento:</w:t>
      </w:r>
    </w:p>
    <w:p w14:paraId="2EADA4DB" w14:textId="77777777" w:rsidR="002558B3" w:rsidRPr="00CC00D4" w:rsidRDefault="002558B3">
      <w:pPr>
        <w:pStyle w:val="Paragrafoelenco"/>
        <w:numPr>
          <w:ilvl w:val="0"/>
          <w:numId w:val="152"/>
        </w:numPr>
        <w:autoSpaceDN w:val="0"/>
        <w:ind w:left="709" w:hanging="357"/>
        <w:contextualSpacing/>
        <w:textAlignment w:val="baseline"/>
        <w:rPr>
          <w:rFonts w:cs="Tahoma"/>
          <w:szCs w:val="20"/>
        </w:rPr>
      </w:pPr>
      <w:r w:rsidRPr="00CC00D4">
        <w:rPr>
          <w:rFonts w:cs="Tahoma"/>
          <w:szCs w:val="20"/>
        </w:rPr>
        <w:t>La riga in cui è compreso il proprio reddito familiare;</w:t>
      </w:r>
    </w:p>
    <w:p w14:paraId="569A3954" w14:textId="77777777" w:rsidR="002558B3" w:rsidRPr="00CC00D4" w:rsidRDefault="002558B3">
      <w:pPr>
        <w:pStyle w:val="Paragrafoelenco"/>
        <w:numPr>
          <w:ilvl w:val="0"/>
          <w:numId w:val="152"/>
        </w:numPr>
        <w:autoSpaceDN w:val="0"/>
        <w:ind w:left="709"/>
        <w:textAlignment w:val="baseline"/>
        <w:rPr>
          <w:rFonts w:cs="Tahoma"/>
          <w:szCs w:val="20"/>
        </w:rPr>
      </w:pPr>
      <w:r w:rsidRPr="00CC00D4">
        <w:rPr>
          <w:rFonts w:cs="Tahoma"/>
          <w:szCs w:val="20"/>
        </w:rPr>
        <w:t>La colonna con il numero di componenti il nucleo familiare.</w:t>
      </w:r>
    </w:p>
    <w:p w14:paraId="7596283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L’incrocio dei dati (riga e colonna) individua l’importo mensile spettante a titolo di ANF. Quest’ultimo:</w:t>
      </w:r>
    </w:p>
    <w:p w14:paraId="1C9120D2" w14:textId="77777777" w:rsidR="002558B3" w:rsidRPr="00CC00D4" w:rsidRDefault="002558B3">
      <w:pPr>
        <w:pStyle w:val="Paragrafoelenco"/>
        <w:numPr>
          <w:ilvl w:val="0"/>
          <w:numId w:val="153"/>
        </w:numPr>
        <w:autoSpaceDN w:val="0"/>
        <w:ind w:left="709" w:hanging="357"/>
        <w:contextualSpacing/>
        <w:textAlignment w:val="baseline"/>
        <w:rPr>
          <w:rFonts w:cs="Tahoma"/>
          <w:szCs w:val="20"/>
        </w:rPr>
      </w:pPr>
      <w:r w:rsidRPr="00CC00D4">
        <w:rPr>
          <w:rFonts w:cs="Tahoma"/>
          <w:szCs w:val="20"/>
        </w:rPr>
        <w:t>Decresce all’aumentare del reddito familiare;</w:t>
      </w:r>
    </w:p>
    <w:p w14:paraId="06A4C82C" w14:textId="77777777" w:rsidR="002558B3" w:rsidRPr="00CC00D4" w:rsidRDefault="002558B3">
      <w:pPr>
        <w:pStyle w:val="Paragrafoelenco"/>
        <w:numPr>
          <w:ilvl w:val="0"/>
          <w:numId w:val="153"/>
        </w:numPr>
        <w:autoSpaceDN w:val="0"/>
        <w:ind w:left="709"/>
        <w:textAlignment w:val="baseline"/>
        <w:rPr>
          <w:rFonts w:cs="Tahoma"/>
          <w:szCs w:val="20"/>
        </w:rPr>
      </w:pPr>
      <w:r w:rsidRPr="00CC00D4">
        <w:rPr>
          <w:rFonts w:cs="Tahoma"/>
          <w:szCs w:val="20"/>
        </w:rPr>
        <w:t>Cresce all’aumentare del numero dei componenti il nucleo.</w:t>
      </w:r>
    </w:p>
    <w:p w14:paraId="7A9FF61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Prendendo a riferimento la tabella 11 (nuclei familiari con entrambi i genitori ed almeno un figlio minore senza componenti inabili) in presenza di un nucleo:</w:t>
      </w:r>
    </w:p>
    <w:p w14:paraId="65B06303" w14:textId="77777777" w:rsidR="002558B3" w:rsidRPr="00CC00D4" w:rsidRDefault="002558B3">
      <w:pPr>
        <w:pStyle w:val="Paragrafoelenco"/>
        <w:numPr>
          <w:ilvl w:val="0"/>
          <w:numId w:val="154"/>
        </w:numPr>
        <w:autoSpaceDN w:val="0"/>
        <w:ind w:left="709" w:hanging="357"/>
        <w:contextualSpacing/>
        <w:textAlignment w:val="baseline"/>
        <w:rPr>
          <w:rFonts w:cs="Tahoma"/>
          <w:szCs w:val="20"/>
        </w:rPr>
      </w:pPr>
      <w:r w:rsidRPr="00CC00D4">
        <w:rPr>
          <w:rFonts w:cs="Tahoma"/>
          <w:szCs w:val="20"/>
        </w:rPr>
        <w:t>Con quattro componenti (due genitori e due figli minori);</w:t>
      </w:r>
    </w:p>
    <w:p w14:paraId="3AD34CC5" w14:textId="77777777" w:rsidR="002558B3" w:rsidRPr="00CC00D4" w:rsidRDefault="002558B3">
      <w:pPr>
        <w:pStyle w:val="Paragrafoelenco"/>
        <w:numPr>
          <w:ilvl w:val="0"/>
          <w:numId w:val="154"/>
        </w:numPr>
        <w:autoSpaceDN w:val="0"/>
        <w:ind w:left="709"/>
        <w:textAlignment w:val="baseline"/>
        <w:rPr>
          <w:rFonts w:cs="Tahoma"/>
          <w:szCs w:val="20"/>
        </w:rPr>
      </w:pPr>
      <w:r w:rsidRPr="00CC00D4">
        <w:rPr>
          <w:rFonts w:cs="Tahoma"/>
          <w:szCs w:val="20"/>
        </w:rPr>
        <w:t>Reddito familiare 20.500,00 euro.</w:t>
      </w:r>
    </w:p>
    <w:p w14:paraId="573503D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tal caso, l’importo dell’ANF mensile pari ad euro 205,25 sarà individuato in base all’allegato 1 del messaggio numero 2331:</w:t>
      </w:r>
    </w:p>
    <w:p w14:paraId="27E267D7" w14:textId="77777777" w:rsidR="002558B3" w:rsidRPr="00CC00D4" w:rsidRDefault="002558B3">
      <w:pPr>
        <w:pStyle w:val="Paragrafoelenco"/>
        <w:numPr>
          <w:ilvl w:val="0"/>
          <w:numId w:val="151"/>
        </w:numPr>
        <w:autoSpaceDN w:val="0"/>
        <w:ind w:left="709" w:hanging="357"/>
        <w:contextualSpacing/>
        <w:textAlignment w:val="baseline"/>
        <w:rPr>
          <w:rFonts w:cs="Tahoma"/>
          <w:szCs w:val="20"/>
        </w:rPr>
      </w:pPr>
      <w:r w:rsidRPr="00CC00D4">
        <w:rPr>
          <w:rFonts w:cs="Tahoma"/>
          <w:szCs w:val="20"/>
        </w:rPr>
        <w:t>Tabella 11;</w:t>
      </w:r>
    </w:p>
    <w:p w14:paraId="33B6772D" w14:textId="77777777" w:rsidR="002558B3" w:rsidRPr="00CC00D4" w:rsidRDefault="002558B3">
      <w:pPr>
        <w:pStyle w:val="Paragrafoelenco"/>
        <w:numPr>
          <w:ilvl w:val="0"/>
          <w:numId w:val="151"/>
        </w:numPr>
        <w:autoSpaceDN w:val="0"/>
        <w:ind w:left="709" w:hanging="357"/>
        <w:contextualSpacing/>
        <w:textAlignment w:val="baseline"/>
        <w:rPr>
          <w:rFonts w:cs="Tahoma"/>
          <w:szCs w:val="20"/>
        </w:rPr>
      </w:pPr>
      <w:r w:rsidRPr="00CC00D4">
        <w:rPr>
          <w:rFonts w:cs="Tahoma"/>
          <w:szCs w:val="20"/>
        </w:rPr>
        <w:t>Riga 62, reddito tra 20.448,66 e 20.566,86 euro;</w:t>
      </w:r>
    </w:p>
    <w:p w14:paraId="7A06CB8A" w14:textId="77777777" w:rsidR="002558B3" w:rsidRPr="00CC00D4" w:rsidRDefault="002558B3">
      <w:pPr>
        <w:pStyle w:val="Paragrafoelenco"/>
        <w:numPr>
          <w:ilvl w:val="0"/>
          <w:numId w:val="151"/>
        </w:numPr>
        <w:autoSpaceDN w:val="0"/>
        <w:ind w:left="709"/>
        <w:textAlignment w:val="baseline"/>
        <w:rPr>
          <w:rFonts w:cs="Tahoma"/>
          <w:szCs w:val="20"/>
        </w:rPr>
      </w:pPr>
      <w:r w:rsidRPr="00CC00D4">
        <w:rPr>
          <w:rFonts w:cs="Tahoma"/>
          <w:szCs w:val="20"/>
        </w:rPr>
        <w:t>Colonna H (quattro componenti).</w:t>
      </w:r>
    </w:p>
    <w:p w14:paraId="71BB774C" w14:textId="498B06E2" w:rsidR="002558B3" w:rsidRPr="00CC00D4" w:rsidRDefault="00890E71" w:rsidP="00890E71">
      <w:pPr>
        <w:pStyle w:val="Citazione"/>
        <w:rPr>
          <w:i w:val="0"/>
        </w:rPr>
      </w:pPr>
      <w:r w:rsidRPr="00CC00D4">
        <w:rPr>
          <w:i w:val="0"/>
        </w:rPr>
        <w:t>Il Decreto Legislativo 21 dicembre 2021 numero 230 rubricato “</w:t>
      </w:r>
      <w:r w:rsidRPr="00CC00D4">
        <w:t>Istituzione dell’assegno unico e universale per i figli a carico, in attuazione della delega conferita al Governo ai sensi della legge 1° aprile 2021, n. 46</w:t>
      </w:r>
      <w:r w:rsidRPr="00CC00D4">
        <w:rPr>
          <w:i w:val="0"/>
        </w:rPr>
        <w:t>” ha previsto all’articolo 10 comma 3 che, a decorrere dal 1° marzo 2022, cessano di essere riconosciute le prestazioni a titolo di ANF</w:t>
      </w:r>
      <w:r w:rsidR="00E0168F" w:rsidRPr="00CC00D4">
        <w:rPr>
          <w:i w:val="0"/>
        </w:rPr>
        <w:t xml:space="preserve"> (di cui all’articolo 2 del Decreto Legge 13 marzo 1988 numero 69 convertito con modificazioni dalla Legge 13 maggio 1988 numero 153 e di cui all’articolo 4 del Testo Unico delle norme concernenti gli assegni familiari, approvato con Decreto del Presidente della Repubblica 30 maggio 1955 numero 797)</w:t>
      </w:r>
      <w:r w:rsidRPr="00CC00D4">
        <w:rPr>
          <w:i w:val="0"/>
        </w:rPr>
        <w:t xml:space="preserve"> limitatamente “</w:t>
      </w:r>
      <w:r w:rsidRPr="00CC00D4">
        <w:t>ai nuclei familiari con figli e orfanili</w:t>
      </w:r>
      <w:r w:rsidRPr="00CC00D4">
        <w:rPr>
          <w:i w:val="0"/>
        </w:rPr>
        <w:t>”</w:t>
      </w:r>
      <w:r w:rsidR="00E0168F" w:rsidRPr="00CC00D4">
        <w:rPr>
          <w:i w:val="0"/>
        </w:rPr>
        <w:t xml:space="preserve">. </w:t>
      </w:r>
    </w:p>
    <w:p w14:paraId="7C32EFA6" w14:textId="607BC936" w:rsidR="00E74A8D" w:rsidRPr="00CC00D4" w:rsidRDefault="00C42178" w:rsidP="00C42178">
      <w:commentRangeStart w:id="308"/>
      <w:r w:rsidRPr="00CC00D4">
        <w:t xml:space="preserve">La </w:t>
      </w:r>
      <w:hyperlink r:id="rId42" w:history="1">
        <w:r w:rsidRPr="00CC00D4">
          <w:rPr>
            <w:rStyle w:val="Collegamentoipertestuale"/>
            <w:rFonts w:cs="Calibri"/>
          </w:rPr>
          <w:t>Circolare</w:t>
        </w:r>
        <w:bookmarkStart w:id="309" w:name="__RefHeading__4540_1479815270"/>
        <w:bookmarkStart w:id="310" w:name="_Toc92386536"/>
        <w:r w:rsidRPr="00CC00D4">
          <w:rPr>
            <w:rStyle w:val="Collegamentoipertestuale"/>
            <w:rFonts w:cs="Calibri"/>
          </w:rPr>
          <w:t xml:space="preserve"> Inps del 30 maggio 2022 numero 65</w:t>
        </w:r>
      </w:hyperlink>
      <w:r w:rsidRPr="00CC00D4">
        <w:t xml:space="preserve"> ha comunicato i nuovi livelli di reddito familiare ai fini della corresponsione degli ANF per il periodo 1° luglio 2022 – 30 giugno 2023, in ragione della variazione percentuale </w:t>
      </w:r>
      <w:r w:rsidRPr="00CC00D4">
        <w:lastRenderedPageBreak/>
        <w:t xml:space="preserve">dell’indice dei prezzi al consumo per le famiglie di operai e impiegati, al netto dei tabacchi, calcolata dall’Istat tra l’anno 2021 e l’anno 2020, pari a +1,9%. </w:t>
      </w:r>
    </w:p>
    <w:p w14:paraId="307C38C6" w14:textId="657BD848" w:rsidR="00C42178" w:rsidRPr="00CC00D4" w:rsidRDefault="00C42178" w:rsidP="00C42178">
      <w:r w:rsidRPr="00CC00D4">
        <w:t xml:space="preserve">Come ricordato dall’Inps, in attuazione di quanto previsto dal </w:t>
      </w:r>
      <w:r w:rsidR="003D003C" w:rsidRPr="00CC00D4">
        <w:t>“</w:t>
      </w:r>
      <w:r w:rsidRPr="00CC00D4">
        <w:rPr>
          <w:i/>
          <w:iCs/>
        </w:rPr>
        <w:t>Decreto legislativo 29 dicembre 2021 numero 230, che ha istituito all’articolo 1, con decorrenza 1° marzo 2022, l’Assegno unico e universale per i figli a carico e ha abrogato, dalla medesima data</w:t>
      </w:r>
      <w:r w:rsidR="003D003C" w:rsidRPr="00CC00D4">
        <w:rPr>
          <w:i/>
          <w:iCs/>
        </w:rPr>
        <w:t>, l’Assegno per il nucleo familiare per i nuclei con figli e orfanili</w:t>
      </w:r>
      <w:r w:rsidR="003D003C" w:rsidRPr="00CC00D4">
        <w:t xml:space="preserve">” i nuovi livelli di reddito familiare riguardano esclusivamente i nuclei con familiari diversi da quelli con figli e orfanili e, di conseguenza, composti da coniugi, fratelli, sorelle e nipoti. Pertanto, la rivalutazione è stata predisposta con riferimento alle sole tabelle 19, 20A, 20B, 21A, 21B, 21C, 21D. </w:t>
      </w:r>
      <w:commentRangeEnd w:id="308"/>
      <w:r w:rsidR="00C42B05" w:rsidRPr="00CC00D4">
        <w:rPr>
          <w:rStyle w:val="Rimandocommento"/>
          <w:rFonts w:ascii="Calibri" w:eastAsia="SimSun" w:hAnsi="Calibri" w:cs="F"/>
          <w:kern w:val="3"/>
          <w:lang w:eastAsia="it-IT"/>
        </w:rPr>
        <w:commentReference w:id="308"/>
      </w:r>
    </w:p>
    <w:p w14:paraId="6B647BCC" w14:textId="3D5B8AF6" w:rsidR="00CC00D4" w:rsidRPr="00CC00D4" w:rsidRDefault="00CC00D4" w:rsidP="00CC00D4">
      <w:pPr>
        <w:pStyle w:val="Standard"/>
        <w:spacing w:after="200" w:line="360" w:lineRule="auto"/>
        <w:jc w:val="both"/>
        <w:rPr>
          <w:rFonts w:ascii="Tahoma" w:hAnsi="Tahoma" w:cs="Tahoma"/>
          <w:b/>
          <w:bCs/>
          <w:kern w:val="0"/>
          <w:sz w:val="20"/>
          <w:szCs w:val="20"/>
        </w:rPr>
      </w:pPr>
      <w:hyperlink r:id="rId43" w:history="1">
        <w:r w:rsidRPr="00CC00D4">
          <w:rPr>
            <w:rStyle w:val="Collegamentoipertestuale"/>
            <w:rFonts w:ascii="Tahoma" w:hAnsi="Tahoma" w:cs="Tahoma"/>
            <w:b/>
            <w:bCs/>
            <w:kern w:val="0"/>
            <w:sz w:val="20"/>
            <w:szCs w:val="20"/>
          </w:rPr>
          <w:t xml:space="preserve">[ALLEGATO </w:t>
        </w:r>
        <w:r w:rsidRPr="00CC00D4">
          <w:rPr>
            <w:rStyle w:val="Collegamentoipertestuale"/>
            <w:rFonts w:ascii="Tahoma" w:hAnsi="Tahoma" w:cs="Tahoma"/>
            <w:b/>
            <w:bCs/>
            <w:kern w:val="0"/>
            <w:sz w:val="20"/>
            <w:szCs w:val="20"/>
          </w:rPr>
          <w:t>“CIRCOLARE_NUMERO_65_DEL_30-05-2022_ALLEGATO_N_1”]</w:t>
        </w:r>
      </w:hyperlink>
    </w:p>
    <w:p w14:paraId="2D3A6875" w14:textId="77777777" w:rsidR="00CC00D4" w:rsidRPr="00CC00D4" w:rsidRDefault="00CC00D4" w:rsidP="00CC00D4">
      <w:pPr>
        <w:pStyle w:val="Corpotesto"/>
      </w:pPr>
    </w:p>
    <w:p w14:paraId="3FDC9CB7" w14:textId="5A38E2D6" w:rsidR="002558B3" w:rsidRPr="00CC00D4" w:rsidRDefault="002558B3" w:rsidP="00F14C98">
      <w:pPr>
        <w:pStyle w:val="Titolo3"/>
      </w:pPr>
      <w:bookmarkStart w:id="311" w:name="_Toc124266305"/>
      <w:r w:rsidRPr="00CC00D4">
        <w:t>4.5.5 Maggiorazione ANF</w:t>
      </w:r>
      <w:bookmarkEnd w:id="309"/>
      <w:bookmarkEnd w:id="310"/>
      <w:bookmarkEnd w:id="311"/>
    </w:p>
    <w:p w14:paraId="0D74E6EF" w14:textId="58A33106"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Il </w:t>
      </w:r>
      <w:r w:rsidR="00F14C98" w:rsidRPr="00CC00D4">
        <w:rPr>
          <w:rFonts w:ascii="Tahoma" w:hAnsi="Tahoma" w:cs="Tahoma"/>
          <w:kern w:val="0"/>
          <w:sz w:val="20"/>
          <w:szCs w:val="20"/>
        </w:rPr>
        <w:t>Decreto-legge</w:t>
      </w:r>
      <w:r w:rsidRPr="00CC00D4">
        <w:rPr>
          <w:rFonts w:ascii="Tahoma" w:hAnsi="Tahoma" w:cs="Tahoma"/>
          <w:kern w:val="0"/>
          <w:sz w:val="20"/>
          <w:szCs w:val="20"/>
        </w:rPr>
        <w:t xml:space="preserve"> 8 giugno 2021 numero 79 (convertito con modificazioni in Legge 30 luglio 2021 numero 112) ha previsto (articolo 5) a decorrere dal 1° luglio 2021 e fino al 31 dicembre 2021 una maggiorazione degli importi mensili degli Assegni per il Nucleo Familiare superiori a zero, pari a:</w:t>
      </w:r>
    </w:p>
    <w:p w14:paraId="58CC191E" w14:textId="77777777" w:rsidR="002558B3" w:rsidRPr="00CC00D4" w:rsidRDefault="002558B3">
      <w:pPr>
        <w:pStyle w:val="Paragrafoelenco"/>
        <w:numPr>
          <w:ilvl w:val="0"/>
          <w:numId w:val="150"/>
        </w:numPr>
        <w:autoSpaceDN w:val="0"/>
        <w:ind w:left="709" w:hanging="357"/>
        <w:contextualSpacing/>
        <w:textAlignment w:val="baseline"/>
        <w:rPr>
          <w:rFonts w:cs="Tahoma"/>
          <w:szCs w:val="20"/>
        </w:rPr>
      </w:pPr>
      <w:r w:rsidRPr="00CC00D4">
        <w:rPr>
          <w:rFonts w:cs="Tahoma"/>
          <w:szCs w:val="20"/>
        </w:rPr>
        <w:t>37,5 euro mensili per ciascun figlio per i nuclei familiari fino a due figli;</w:t>
      </w:r>
    </w:p>
    <w:p w14:paraId="28EC79E1" w14:textId="77777777" w:rsidR="002558B3" w:rsidRPr="00CC00D4" w:rsidRDefault="002558B3">
      <w:pPr>
        <w:pStyle w:val="Paragrafoelenco"/>
        <w:numPr>
          <w:ilvl w:val="0"/>
          <w:numId w:val="150"/>
        </w:numPr>
        <w:autoSpaceDN w:val="0"/>
        <w:ind w:left="709"/>
        <w:textAlignment w:val="baseline"/>
        <w:rPr>
          <w:rFonts w:cs="Tahoma"/>
          <w:szCs w:val="20"/>
        </w:rPr>
      </w:pPr>
      <w:r w:rsidRPr="00CC00D4">
        <w:rPr>
          <w:rFonts w:cs="Tahoma"/>
          <w:szCs w:val="20"/>
        </w:rPr>
        <w:t>55 euro mensili per ciascun figlio a beneficio dei nuclei con almeno tre figli.</w:t>
      </w:r>
    </w:p>
    <w:p w14:paraId="130C686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soggetti iscritti alla Gestione Separata, tra cui i lavoratori autonomi occasionali, rientrano tra i potenziali beneficiari della maggiorazione.</w:t>
      </w:r>
    </w:p>
    <w:p w14:paraId="5E0D418E" w14:textId="77777777" w:rsidR="00D022E3" w:rsidRPr="00CC00D4" w:rsidRDefault="005D73DE"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Decreto Legislativo 21 dicembre 2021 numero 230 (articolo 11 comma 1) ha prorogato la misura per i mesi</w:t>
      </w:r>
      <w:r w:rsidR="00B01240" w:rsidRPr="00CC00D4">
        <w:rPr>
          <w:rFonts w:ascii="Tahoma" w:hAnsi="Tahoma" w:cs="Tahoma"/>
          <w:kern w:val="0"/>
          <w:sz w:val="20"/>
          <w:szCs w:val="20"/>
        </w:rPr>
        <w:t xml:space="preserve"> di gennaio e febbraio 2022 in vista, appunto, dell’avvio dell’Assegno Unico previsto per il successivo 1° marzo. </w:t>
      </w:r>
    </w:p>
    <w:p w14:paraId="3D98C924" w14:textId="77777777" w:rsidR="00D022E3" w:rsidRPr="00CC00D4" w:rsidRDefault="00D022E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L’intro</w:t>
      </w:r>
      <w:r w:rsidR="005E67F9" w:rsidRPr="00CC00D4">
        <w:rPr>
          <w:rFonts w:ascii="Tahoma" w:hAnsi="Tahoma" w:cs="Tahoma"/>
          <w:kern w:val="0"/>
          <w:sz w:val="20"/>
          <w:szCs w:val="20"/>
        </w:rPr>
        <w:t>duzione del sussidio comporta</w:t>
      </w:r>
      <w:r w:rsidRPr="00CC00D4">
        <w:rPr>
          <w:rFonts w:ascii="Tahoma" w:hAnsi="Tahoma" w:cs="Tahoma"/>
          <w:kern w:val="0"/>
          <w:sz w:val="20"/>
          <w:szCs w:val="20"/>
        </w:rPr>
        <w:t xml:space="preserve"> pertanto il tramonto della maggiorazione che, in assenza d</w:t>
      </w:r>
      <w:r w:rsidR="005E67F9" w:rsidRPr="00CC00D4">
        <w:rPr>
          <w:rFonts w:ascii="Tahoma" w:hAnsi="Tahoma" w:cs="Tahoma"/>
          <w:kern w:val="0"/>
          <w:sz w:val="20"/>
          <w:szCs w:val="20"/>
        </w:rPr>
        <w:t xml:space="preserve">i ulteriori proroghe, termina il 28 febbraio 2022. </w:t>
      </w:r>
    </w:p>
    <w:p w14:paraId="1877519D" w14:textId="77777777" w:rsidR="00634069" w:rsidRPr="00CC00D4" w:rsidRDefault="00634069" w:rsidP="00F14C98">
      <w:pPr>
        <w:pStyle w:val="Titolo3"/>
      </w:pPr>
      <w:bookmarkStart w:id="312" w:name="__RefHeading__4542_1479815270"/>
      <w:bookmarkStart w:id="313" w:name="_Toc92386537"/>
    </w:p>
    <w:p w14:paraId="29693AC7" w14:textId="18ABF8DF" w:rsidR="002558B3" w:rsidRPr="00CC00D4" w:rsidRDefault="002558B3" w:rsidP="00F14C98">
      <w:pPr>
        <w:pStyle w:val="Titolo3"/>
      </w:pPr>
      <w:bookmarkStart w:id="314" w:name="_Toc124266306"/>
      <w:r w:rsidRPr="00CC00D4">
        <w:t>4.5.6 Destinatari della maggiorazione</w:t>
      </w:r>
      <w:bookmarkEnd w:id="312"/>
      <w:bookmarkEnd w:id="313"/>
      <w:bookmarkEnd w:id="314"/>
    </w:p>
    <w:p w14:paraId="4500AFD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Come anticipato, l’elemento economico aggiuntivo è riconosciuto (</w:t>
      </w:r>
      <w:hyperlink r:id="rId44" w:history="1">
        <w:r w:rsidRPr="00CC00D4">
          <w:rPr>
            <w:rStyle w:val="Collegamentoipertestuale"/>
            <w:rFonts w:ascii="Tahoma" w:hAnsi="Tahoma" w:cs="Tahoma"/>
            <w:kern w:val="0"/>
            <w:sz w:val="20"/>
            <w:szCs w:val="20"/>
          </w:rPr>
          <w:t>circolare INPS 30 giugno 2021 numero 92</w:t>
        </w:r>
      </w:hyperlink>
      <w:r w:rsidRPr="00CC00D4">
        <w:rPr>
          <w:rFonts w:ascii="Tahoma" w:hAnsi="Tahoma" w:cs="Tahoma"/>
          <w:kern w:val="0"/>
          <w:sz w:val="20"/>
          <w:szCs w:val="20"/>
        </w:rPr>
        <w:t>) a “</w:t>
      </w:r>
      <w:r w:rsidRPr="00CC00D4">
        <w:rPr>
          <w:rFonts w:ascii="Tahoma" w:hAnsi="Tahoma" w:cs="Tahoma"/>
          <w:i/>
          <w:iCs/>
          <w:kern w:val="0"/>
          <w:sz w:val="20"/>
          <w:szCs w:val="20"/>
        </w:rPr>
        <w:t>tutti i nuclei familiari che percepiscono, sulla base delle disposizioni vigenti in relazione alla composizione e alla numerosità del nucleo familiare, ai livelli reddituali e alla composizione del reddito complessivo del nucleo stesso, un importo di ANF superiore a zero</w:t>
      </w:r>
      <w:r w:rsidRPr="00CC00D4">
        <w:rPr>
          <w:rFonts w:ascii="Tahoma" w:hAnsi="Tahoma" w:cs="Tahoma"/>
          <w:kern w:val="0"/>
          <w:sz w:val="20"/>
          <w:szCs w:val="20"/>
        </w:rPr>
        <w:t>”,</w:t>
      </w:r>
    </w:p>
    <w:p w14:paraId="4665E8B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meritevoli della maggiorazione anche i nuclei con “</w:t>
      </w:r>
      <w:r w:rsidRPr="00CC00D4">
        <w:rPr>
          <w:rFonts w:ascii="Tahoma" w:hAnsi="Tahoma" w:cs="Tahoma"/>
          <w:i/>
          <w:iCs/>
          <w:kern w:val="0"/>
          <w:sz w:val="20"/>
          <w:szCs w:val="20"/>
        </w:rPr>
        <w:t xml:space="preserve">figli maggiorenni inabili a proficuo lavoro oltre che di </w:t>
      </w:r>
      <w:r w:rsidRPr="00CC00D4">
        <w:rPr>
          <w:rFonts w:ascii="Tahoma" w:hAnsi="Tahoma" w:cs="Tahoma"/>
          <w:i/>
          <w:iCs/>
          <w:kern w:val="0"/>
          <w:sz w:val="20"/>
          <w:szCs w:val="20"/>
        </w:rPr>
        <w:lastRenderedPageBreak/>
        <w:t>figli con età compresa tra i 18 e i 21 anni se studenti o apprendisti e appartenenti a nuclei numerosi secondo quanto previsto dall’articolo 1, comma 11 della legge 27 dicembre 2006, n. 296</w:t>
      </w:r>
      <w:r w:rsidRPr="00CC00D4">
        <w:rPr>
          <w:rFonts w:ascii="Tahoma" w:hAnsi="Tahoma" w:cs="Tahoma"/>
          <w:kern w:val="0"/>
          <w:sz w:val="20"/>
          <w:szCs w:val="20"/>
        </w:rPr>
        <w:t>”.</w:t>
      </w:r>
    </w:p>
    <w:p w14:paraId="4E9DEE74" w14:textId="77777777" w:rsidR="002558B3" w:rsidRPr="00CC00D4" w:rsidRDefault="002558B3" w:rsidP="002558B3">
      <w:pPr>
        <w:pStyle w:val="Standard"/>
        <w:spacing w:after="200" w:line="360" w:lineRule="auto"/>
        <w:jc w:val="both"/>
        <w:rPr>
          <w:rFonts w:ascii="Tahoma" w:hAnsi="Tahoma" w:cs="Tahoma"/>
          <w:kern w:val="0"/>
          <w:sz w:val="20"/>
          <w:szCs w:val="20"/>
        </w:rPr>
      </w:pPr>
    </w:p>
    <w:p w14:paraId="1BD1AB8A" w14:textId="187D1099" w:rsidR="002558B3" w:rsidRPr="00CC00D4" w:rsidRDefault="002558B3" w:rsidP="00F14C98">
      <w:pPr>
        <w:pStyle w:val="Titolo3"/>
      </w:pPr>
      <w:bookmarkStart w:id="315" w:name="__RefHeading__4544_1479815270"/>
      <w:bookmarkStart w:id="316" w:name="_Toc92386538"/>
      <w:bookmarkStart w:id="317" w:name="_Toc124266307"/>
      <w:r w:rsidRPr="00CC00D4">
        <w:t>4.5.7 Incompatibilità</w:t>
      </w:r>
      <w:bookmarkEnd w:id="315"/>
      <w:bookmarkEnd w:id="316"/>
      <w:bookmarkEnd w:id="317"/>
    </w:p>
    <w:p w14:paraId="55AE86FA" w14:textId="338B1F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Sempre il </w:t>
      </w:r>
      <w:r w:rsidR="00F14C98" w:rsidRPr="00CC00D4">
        <w:rPr>
          <w:rFonts w:ascii="Tahoma" w:hAnsi="Tahoma" w:cs="Tahoma"/>
          <w:kern w:val="0"/>
          <w:sz w:val="20"/>
          <w:szCs w:val="20"/>
        </w:rPr>
        <w:t>Decreto-legge</w:t>
      </w:r>
      <w:r w:rsidRPr="00CC00D4">
        <w:rPr>
          <w:rFonts w:ascii="Tahoma" w:hAnsi="Tahoma" w:cs="Tahoma"/>
          <w:kern w:val="0"/>
          <w:sz w:val="20"/>
          <w:szCs w:val="20"/>
        </w:rPr>
        <w:t xml:space="preserve"> 8 giugno 2021 numero 79 ha previsto dal 1° luglio 2021 al 31 dicembre 2021 (articolo 1) un Assegno temporaneo per i figli minori a beneficio dei nuclei che non abbiano diritto all’Assegno per il Nucleo Familiare, tra cui:</w:t>
      </w:r>
    </w:p>
    <w:p w14:paraId="237D075A" w14:textId="77777777" w:rsidR="002558B3" w:rsidRPr="00CC00D4" w:rsidRDefault="002558B3">
      <w:pPr>
        <w:pStyle w:val="Paragrafoelenco"/>
        <w:numPr>
          <w:ilvl w:val="0"/>
          <w:numId w:val="149"/>
        </w:numPr>
        <w:autoSpaceDN w:val="0"/>
        <w:ind w:left="709" w:hanging="357"/>
        <w:contextualSpacing/>
        <w:textAlignment w:val="baseline"/>
        <w:rPr>
          <w:rFonts w:cs="Tahoma"/>
          <w:szCs w:val="20"/>
        </w:rPr>
      </w:pPr>
      <w:r w:rsidRPr="00CC00D4">
        <w:rPr>
          <w:rFonts w:cs="Tahoma"/>
          <w:szCs w:val="20"/>
        </w:rPr>
        <w:t>Lavoratori autonomi;</w:t>
      </w:r>
    </w:p>
    <w:p w14:paraId="0E8FDC11" w14:textId="77777777" w:rsidR="002558B3" w:rsidRPr="00CC00D4" w:rsidRDefault="002558B3">
      <w:pPr>
        <w:pStyle w:val="Paragrafoelenco"/>
        <w:numPr>
          <w:ilvl w:val="0"/>
          <w:numId w:val="149"/>
        </w:numPr>
        <w:autoSpaceDN w:val="0"/>
        <w:ind w:left="709" w:hanging="357"/>
        <w:contextualSpacing/>
        <w:textAlignment w:val="baseline"/>
        <w:rPr>
          <w:rFonts w:cs="Tahoma"/>
          <w:szCs w:val="20"/>
        </w:rPr>
      </w:pPr>
      <w:r w:rsidRPr="00CC00D4">
        <w:rPr>
          <w:rFonts w:cs="Tahoma"/>
          <w:szCs w:val="20"/>
        </w:rPr>
        <w:t>Disoccupati;</w:t>
      </w:r>
    </w:p>
    <w:p w14:paraId="3FFA3FE2" w14:textId="77777777" w:rsidR="002558B3" w:rsidRPr="00CC00D4" w:rsidRDefault="002558B3">
      <w:pPr>
        <w:pStyle w:val="Paragrafoelenco"/>
        <w:numPr>
          <w:ilvl w:val="0"/>
          <w:numId w:val="149"/>
        </w:numPr>
        <w:autoSpaceDN w:val="0"/>
        <w:ind w:left="709" w:hanging="357"/>
        <w:contextualSpacing/>
        <w:textAlignment w:val="baseline"/>
        <w:rPr>
          <w:rFonts w:cs="Tahoma"/>
          <w:szCs w:val="20"/>
        </w:rPr>
      </w:pPr>
      <w:r w:rsidRPr="00CC00D4">
        <w:rPr>
          <w:rFonts w:cs="Tahoma"/>
          <w:szCs w:val="20"/>
        </w:rPr>
        <w:t>Coltivatori diretti, coloni e mezzadri;</w:t>
      </w:r>
    </w:p>
    <w:p w14:paraId="7E71946B" w14:textId="77777777" w:rsidR="002558B3" w:rsidRPr="00CC00D4" w:rsidRDefault="002558B3">
      <w:pPr>
        <w:pStyle w:val="Paragrafoelenco"/>
        <w:numPr>
          <w:ilvl w:val="0"/>
          <w:numId w:val="149"/>
        </w:numPr>
        <w:autoSpaceDN w:val="0"/>
        <w:ind w:left="709" w:hanging="357"/>
        <w:contextualSpacing/>
        <w:textAlignment w:val="baseline"/>
        <w:rPr>
          <w:rFonts w:cs="Tahoma"/>
          <w:szCs w:val="20"/>
        </w:rPr>
      </w:pPr>
      <w:r w:rsidRPr="00CC00D4">
        <w:rPr>
          <w:rFonts w:cs="Tahoma"/>
          <w:szCs w:val="20"/>
        </w:rPr>
        <w:t>Titolari di pensione da lavoro autonomo;</w:t>
      </w:r>
    </w:p>
    <w:p w14:paraId="6657CC79" w14:textId="77777777" w:rsidR="002558B3" w:rsidRPr="00CC00D4" w:rsidRDefault="002558B3">
      <w:pPr>
        <w:pStyle w:val="Paragrafoelenco"/>
        <w:numPr>
          <w:ilvl w:val="0"/>
          <w:numId w:val="149"/>
        </w:numPr>
        <w:autoSpaceDN w:val="0"/>
        <w:ind w:left="709"/>
        <w:textAlignment w:val="baseline"/>
        <w:rPr>
          <w:rFonts w:cs="Tahoma"/>
          <w:szCs w:val="20"/>
        </w:rPr>
      </w:pPr>
      <w:r w:rsidRPr="00CC00D4">
        <w:rPr>
          <w:rFonts w:cs="Tahoma"/>
          <w:szCs w:val="20"/>
        </w:rPr>
        <w:t>Nuclei privi dei requisiti per godere degli ANF.</w:t>
      </w:r>
    </w:p>
    <w:p w14:paraId="514C24A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espressa previsione del Decreto legge numero 79 (articolo 4) e considerando che le due misure sono state introdotte in parallelo in attesa dell’avvio dell’Assegno unico e universale, il sussidio di cui all’articolo 1 non è compatibile con la fruizione degli ANF ivi compresa la maggiorazione temporanea.</w:t>
      </w:r>
    </w:p>
    <w:p w14:paraId="7128288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Conseguentemente, afferma la Circolare INPS numero 92, per i “</w:t>
      </w:r>
      <w:r w:rsidRPr="00CC00D4">
        <w:rPr>
          <w:rFonts w:ascii="Tahoma" w:hAnsi="Tahoma" w:cs="Tahoma"/>
          <w:i/>
          <w:iCs/>
          <w:kern w:val="0"/>
          <w:sz w:val="20"/>
          <w:szCs w:val="20"/>
        </w:rPr>
        <w:t>lavoratori dipendenti / assimilati e per i nuclei familiari a essi riferibili, trovano applicazione le disposizioni in materia di riconoscimento dell’assegno per il nucleo familiare, anche nei casi in cui la titolarità del diritto all’ANF sia riconosciuta a soggetti diversi dal lavoratore dipendente / assimilato, come ad esempio, nel caso del genitore separato / naturale che beneficia degli ANF sulla posizione tutelata dell’altro genitore lavoratore dipendente / assimilato, al quale viene riconosciuta anche la maggiorazione prevista dall’articolo 5 del citato decreto – legge n. 79/2021</w:t>
      </w:r>
      <w:r w:rsidRPr="00CC00D4">
        <w:rPr>
          <w:rFonts w:ascii="Tahoma" w:hAnsi="Tahoma" w:cs="Tahoma"/>
          <w:kern w:val="0"/>
          <w:sz w:val="20"/>
          <w:szCs w:val="20"/>
        </w:rPr>
        <w:t>”.</w:t>
      </w:r>
    </w:p>
    <w:p w14:paraId="2CA7FD3E" w14:textId="77777777" w:rsidR="00C2257C" w:rsidRPr="00CC00D4" w:rsidRDefault="00C2257C" w:rsidP="00BA638F">
      <w:pPr>
        <w:pStyle w:val="Titolo1"/>
        <w:sectPr w:rsidR="00C2257C" w:rsidRPr="00CC00D4">
          <w:pgSz w:w="11906" w:h="16838"/>
          <w:pgMar w:top="776" w:right="1134" w:bottom="777" w:left="1134" w:header="720" w:footer="720" w:gutter="0"/>
          <w:cols w:space="720"/>
          <w:titlePg/>
          <w:docGrid w:linePitch="272"/>
        </w:sectPr>
      </w:pPr>
      <w:bookmarkStart w:id="318" w:name="__RefHeading__4546_1479815270"/>
      <w:bookmarkStart w:id="319" w:name="_Toc92386539"/>
    </w:p>
    <w:p w14:paraId="43AAF589" w14:textId="77777777" w:rsidR="00C2257C" w:rsidRPr="00CC00D4" w:rsidRDefault="002558B3" w:rsidP="00BA638F">
      <w:pPr>
        <w:pStyle w:val="Titolo1"/>
      </w:pPr>
      <w:bookmarkStart w:id="320" w:name="_Toc124266308"/>
      <w:r w:rsidRPr="00CC00D4">
        <w:lastRenderedPageBreak/>
        <w:t>5.</w:t>
      </w:r>
      <w:bookmarkEnd w:id="320"/>
      <w:r w:rsidRPr="00CC00D4">
        <w:t xml:space="preserve"> </w:t>
      </w:r>
    </w:p>
    <w:bookmarkStart w:id="321" w:name="_Toc124266309"/>
    <w:p w14:paraId="109A6396" w14:textId="56C437F2" w:rsidR="002558B3" w:rsidRPr="00CC00D4" w:rsidRDefault="00985370" w:rsidP="00BA638F">
      <w:pPr>
        <w:pStyle w:val="Titolo1"/>
      </w:pPr>
      <w:r w:rsidRPr="00CC00D4">
        <w:rPr>
          <w:b w:val="0"/>
          <w:bCs w:val="0"/>
          <w:i/>
          <w:iCs/>
          <w:noProof/>
          <w:kern w:val="0"/>
          <w:sz w:val="20"/>
          <w:szCs w:val="20"/>
          <w:lang w:eastAsia="it-IT"/>
        </w:rPr>
        <mc:AlternateContent>
          <mc:Choice Requires="wps">
            <w:drawing>
              <wp:anchor distT="0" distB="0" distL="114300" distR="114300" simplePos="0" relativeHeight="251658240" behindDoc="0" locked="0" layoutInCell="1" allowOverlap="1" wp14:anchorId="658D9562" wp14:editId="03A8B6BC">
                <wp:simplePos x="0" y="0"/>
                <wp:positionH relativeFrom="column">
                  <wp:posOffset>1797050</wp:posOffset>
                </wp:positionH>
                <wp:positionV relativeFrom="paragraph">
                  <wp:posOffset>73660</wp:posOffset>
                </wp:positionV>
                <wp:extent cx="2443480" cy="6350"/>
                <wp:effectExtent l="12065" t="13335" r="11430" b="1841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AE62A9" id="AutoShape 120" o:spid="_x0000_s1026" type="#_x0000_t32" style="position:absolute;margin-left:141.5pt;margin-top:5.8pt;width:192.4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" strokecolor="#404040" strokeweight=".53mm">
                <v:stroke joinstyle="miter" endcap="square"/>
              </v:shape>
            </w:pict>
          </mc:Fallback>
        </mc:AlternateContent>
      </w:r>
      <w:r w:rsidR="002558B3" w:rsidRPr="00CC00D4">
        <w:t>Redditi diversi</w:t>
      </w:r>
      <w:bookmarkEnd w:id="318"/>
      <w:bookmarkEnd w:id="319"/>
      <w:bookmarkEnd w:id="321"/>
    </w:p>
    <w:p w14:paraId="0DEB2AAA" w14:textId="77777777" w:rsidR="002558B3" w:rsidRPr="00CC00D4" w:rsidRDefault="002558B3" w:rsidP="002558B3">
      <w:pPr>
        <w:pStyle w:val="Standard"/>
        <w:spacing w:after="200" w:line="360" w:lineRule="auto"/>
        <w:jc w:val="both"/>
        <w:rPr>
          <w:rFonts w:ascii="Tahoma" w:hAnsi="Tahoma" w:cs="Tahoma"/>
          <w:b/>
          <w:bCs/>
          <w:i/>
          <w:iCs/>
          <w:kern w:val="0"/>
          <w:sz w:val="20"/>
          <w:szCs w:val="20"/>
        </w:rPr>
      </w:pPr>
    </w:p>
    <w:p w14:paraId="11D085F1" w14:textId="77777777" w:rsidR="00C2257C" w:rsidRPr="00CC00D4" w:rsidRDefault="00C2257C" w:rsidP="002558B3">
      <w:pPr>
        <w:pStyle w:val="Standard"/>
        <w:spacing w:after="200" w:line="360" w:lineRule="auto"/>
        <w:jc w:val="both"/>
        <w:rPr>
          <w:rFonts w:ascii="Tahoma" w:hAnsi="Tahoma" w:cs="Tahoma"/>
          <w:b/>
          <w:bCs/>
          <w:i/>
          <w:iCs/>
          <w:kern w:val="0"/>
          <w:sz w:val="20"/>
          <w:szCs w:val="20"/>
        </w:rPr>
      </w:pPr>
    </w:p>
    <w:p w14:paraId="07AF1B49" w14:textId="77777777" w:rsidR="00C2257C" w:rsidRPr="00CC00D4" w:rsidRDefault="00C2257C" w:rsidP="002558B3">
      <w:pPr>
        <w:pStyle w:val="Standard"/>
        <w:spacing w:after="200" w:line="360" w:lineRule="auto"/>
        <w:jc w:val="both"/>
        <w:rPr>
          <w:rFonts w:ascii="Tahoma" w:hAnsi="Tahoma" w:cs="Tahoma"/>
          <w:b/>
          <w:bCs/>
          <w:i/>
          <w:iCs/>
          <w:kern w:val="0"/>
          <w:sz w:val="20"/>
          <w:szCs w:val="20"/>
        </w:rPr>
      </w:pPr>
    </w:p>
    <w:p w14:paraId="63B683DA" w14:textId="77777777" w:rsidR="00C2257C" w:rsidRPr="00CC00D4" w:rsidRDefault="00C2257C" w:rsidP="002558B3">
      <w:pPr>
        <w:pStyle w:val="Standard"/>
        <w:spacing w:after="200" w:line="360" w:lineRule="auto"/>
        <w:jc w:val="both"/>
        <w:rPr>
          <w:rFonts w:ascii="Tahoma" w:hAnsi="Tahoma" w:cs="Tahoma"/>
          <w:b/>
          <w:bCs/>
          <w:i/>
          <w:iCs/>
          <w:kern w:val="0"/>
          <w:sz w:val="20"/>
          <w:szCs w:val="20"/>
        </w:rPr>
      </w:pPr>
    </w:p>
    <w:p w14:paraId="6BED3535" w14:textId="77777777" w:rsidR="00C2257C" w:rsidRPr="00CC00D4" w:rsidRDefault="00C2257C" w:rsidP="002558B3">
      <w:pPr>
        <w:pStyle w:val="Standard"/>
        <w:spacing w:after="200" w:line="360" w:lineRule="auto"/>
        <w:jc w:val="both"/>
        <w:rPr>
          <w:rFonts w:ascii="Tahoma" w:hAnsi="Tahoma" w:cs="Tahoma"/>
          <w:b/>
          <w:bCs/>
          <w:i/>
          <w:iCs/>
          <w:kern w:val="0"/>
          <w:sz w:val="20"/>
          <w:szCs w:val="20"/>
        </w:rPr>
      </w:pPr>
    </w:p>
    <w:p w14:paraId="061F2B7E" w14:textId="77777777" w:rsidR="00C2257C" w:rsidRPr="00CC00D4" w:rsidRDefault="00C2257C" w:rsidP="002558B3">
      <w:pPr>
        <w:pStyle w:val="Standard"/>
        <w:spacing w:after="200" w:line="360" w:lineRule="auto"/>
        <w:jc w:val="both"/>
        <w:rPr>
          <w:rFonts w:ascii="Tahoma" w:hAnsi="Tahoma" w:cs="Tahoma"/>
          <w:b/>
          <w:bCs/>
          <w:i/>
          <w:iCs/>
          <w:kern w:val="0"/>
          <w:sz w:val="20"/>
          <w:szCs w:val="20"/>
        </w:rPr>
      </w:pPr>
    </w:p>
    <w:p w14:paraId="74D4305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Dal punto di vista fiscale i redditi percepiti nell’ambito di un’attività di lavoro autonomo occasionale sono qualificati come “Redditi diversi” come tali disciplinati dall’apposito Capo VII di cui al Decreto del Presidente della Repubblica 22 dicembre 1986 numero 917 (cosiddetto “Testo Unico delle Imposte sui Redditi” o TUIR).</w:t>
      </w:r>
    </w:p>
    <w:p w14:paraId="0B4FD3A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Ai sensi del comma 1 lettera l) dell’articolo 67 rientrano tra i redditi diversi quelli “</w:t>
      </w:r>
      <w:r w:rsidRPr="00CC00D4">
        <w:rPr>
          <w:rFonts w:ascii="Tahoma" w:hAnsi="Tahoma" w:cs="Tahoma"/>
          <w:i/>
          <w:iCs/>
          <w:kern w:val="0"/>
          <w:sz w:val="20"/>
          <w:szCs w:val="20"/>
        </w:rPr>
        <w:t>derivanti da attività di lavoro autonomo non esercitate abitualmente o dalla assunzione di obblighi di fare, non fare o permettere</w:t>
      </w:r>
      <w:r w:rsidRPr="00CC00D4">
        <w:rPr>
          <w:rFonts w:ascii="Tahoma" w:hAnsi="Tahoma" w:cs="Tahoma"/>
          <w:kern w:val="0"/>
          <w:sz w:val="20"/>
          <w:szCs w:val="20"/>
        </w:rPr>
        <w:t>”.</w:t>
      </w:r>
    </w:p>
    <w:p w14:paraId="107750F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successivo articolo 71 comma 2 stabilisce che i redditi derivanti da lavoro autonomo occasionale “</w:t>
      </w:r>
      <w:r w:rsidRPr="00CC00D4">
        <w:rPr>
          <w:rFonts w:ascii="Tahoma" w:hAnsi="Tahoma" w:cs="Tahoma"/>
          <w:i/>
          <w:iCs/>
          <w:kern w:val="0"/>
          <w:sz w:val="20"/>
          <w:szCs w:val="20"/>
        </w:rPr>
        <w:t>sono costituiti dalla differenza tra l’ammontare percepito nel periodo di imposta e le spese specificamente inerenti alla loro produzione</w:t>
      </w:r>
      <w:r w:rsidRPr="00CC00D4">
        <w:rPr>
          <w:rFonts w:ascii="Tahoma" w:hAnsi="Tahoma" w:cs="Tahoma"/>
          <w:kern w:val="0"/>
          <w:sz w:val="20"/>
          <w:szCs w:val="20"/>
        </w:rPr>
        <w:t>”.</w:t>
      </w:r>
    </w:p>
    <w:p w14:paraId="4C69B60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base imponibile ai fini fiscali è pertanto costituita da:</w:t>
      </w:r>
    </w:p>
    <w:p w14:paraId="0E79CB8B" w14:textId="77777777" w:rsidR="002558B3" w:rsidRPr="00CC00D4" w:rsidRDefault="002558B3">
      <w:pPr>
        <w:pStyle w:val="Paragrafoelenco"/>
        <w:numPr>
          <w:ilvl w:val="0"/>
          <w:numId w:val="148"/>
        </w:numPr>
        <w:autoSpaceDN w:val="0"/>
        <w:ind w:left="709" w:hanging="357"/>
        <w:contextualSpacing/>
        <w:textAlignment w:val="baseline"/>
        <w:rPr>
          <w:rFonts w:cs="Tahoma"/>
          <w:szCs w:val="20"/>
        </w:rPr>
      </w:pPr>
      <w:r w:rsidRPr="00CC00D4">
        <w:rPr>
          <w:rFonts w:cs="Tahoma"/>
          <w:szCs w:val="20"/>
        </w:rPr>
        <w:t>Compensi erogati dal committente al netto delle spese inerenti alla loro produzione e sostenute, anche in un periodo d’imposta diverso, ed altresì documentate (a patto che non siano superiori ai compensi percepiti);</w:t>
      </w:r>
    </w:p>
    <w:p w14:paraId="71825D86" w14:textId="77777777" w:rsidR="002558B3" w:rsidRPr="00CC00D4" w:rsidRDefault="002558B3">
      <w:pPr>
        <w:pStyle w:val="Paragrafoelenco"/>
        <w:numPr>
          <w:ilvl w:val="0"/>
          <w:numId w:val="148"/>
        </w:numPr>
        <w:autoSpaceDN w:val="0"/>
        <w:ind w:left="709"/>
        <w:textAlignment w:val="baseline"/>
        <w:rPr>
          <w:rFonts w:cs="Tahoma"/>
          <w:szCs w:val="20"/>
        </w:rPr>
      </w:pPr>
      <w:r w:rsidRPr="00CC00D4">
        <w:rPr>
          <w:rFonts w:cs="Tahoma"/>
          <w:szCs w:val="20"/>
        </w:rPr>
        <w:t>Rimborsi spese per viaggio, vitto e alloggio sostenute dal lavoratore e riaddebitate al committente (come chiarito dalla Risoluzione Agenzia Entrate del 21 marzo 2003 numero 69), mentre non sono imponibili le spese pagate direttamente dal cliente a favore del lavoratore autonomo.</w:t>
      </w:r>
    </w:p>
    <w:p w14:paraId="1D159C8B" w14:textId="4920A5CB"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La </w:t>
      </w:r>
      <w:hyperlink r:id="rId45" w:history="1">
        <w:r w:rsidRPr="00CC00D4">
          <w:rPr>
            <w:rStyle w:val="Collegamentoipertestuale"/>
            <w:rFonts w:ascii="Tahoma" w:hAnsi="Tahoma" w:cs="Tahoma"/>
            <w:kern w:val="0"/>
            <w:sz w:val="20"/>
            <w:szCs w:val="20"/>
          </w:rPr>
          <w:t>Risoluzione dell’Agenzia Entrate dell’11 luglio 2013 numero 49/E</w:t>
        </w:r>
      </w:hyperlink>
      <w:r w:rsidRPr="00CC00D4">
        <w:rPr>
          <w:rFonts w:ascii="Tahoma" w:hAnsi="Tahoma" w:cs="Tahoma"/>
          <w:kern w:val="0"/>
          <w:sz w:val="20"/>
          <w:szCs w:val="20"/>
        </w:rPr>
        <w:t xml:space="preserve"> ha avuto modo di chiarire che “</w:t>
      </w:r>
      <w:r w:rsidRPr="00CC00D4">
        <w:rPr>
          <w:rFonts w:ascii="Tahoma" w:hAnsi="Tahoma" w:cs="Tahoma"/>
          <w:i/>
          <w:iCs/>
          <w:kern w:val="0"/>
          <w:sz w:val="20"/>
          <w:szCs w:val="20"/>
        </w:rPr>
        <w:t>la determinazione del reddito di lavoro differisce, tuttavia, da quella del reddito di lavoro autonomo non esercitato abitualmente per il diverso criterio di imputazione delle spese sostenute per l’espletamento dell’incarico</w:t>
      </w:r>
      <w:r w:rsidRPr="00CC00D4">
        <w:rPr>
          <w:rFonts w:ascii="Tahoma" w:hAnsi="Tahoma" w:cs="Tahoma"/>
          <w:kern w:val="0"/>
          <w:sz w:val="20"/>
          <w:szCs w:val="20"/>
        </w:rPr>
        <w:t>”.</w:t>
      </w:r>
    </w:p>
    <w:p w14:paraId="08B0C5F5" w14:textId="77777777" w:rsidR="00E74A8D" w:rsidRPr="00CC00D4" w:rsidRDefault="00E74A8D">
      <w:pPr>
        <w:suppressAutoHyphens w:val="0"/>
        <w:spacing w:after="0" w:line="240" w:lineRule="auto"/>
        <w:jc w:val="left"/>
        <w:rPr>
          <w:rFonts w:eastAsia="SimSun" w:cs="Tahoma"/>
          <w:color w:val="00000A"/>
          <w:szCs w:val="20"/>
          <w:lang w:bidi="hi-IN"/>
        </w:rPr>
      </w:pPr>
      <w:r w:rsidRPr="00CC00D4">
        <w:rPr>
          <w:rFonts w:cs="Tahoma"/>
          <w:szCs w:val="20"/>
        </w:rPr>
        <w:br w:type="page"/>
      </w:r>
    </w:p>
    <w:p w14:paraId="6123535D" w14:textId="04854B92"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Nello specifico:</w:t>
      </w:r>
    </w:p>
    <w:p w14:paraId="234212F2" w14:textId="77777777" w:rsidR="002558B3" w:rsidRPr="00CC00D4" w:rsidRDefault="002558B3">
      <w:pPr>
        <w:pStyle w:val="Paragrafoelenco"/>
        <w:numPr>
          <w:ilvl w:val="0"/>
          <w:numId w:val="200"/>
        </w:numPr>
        <w:autoSpaceDN w:val="0"/>
        <w:ind w:left="709" w:hanging="357"/>
        <w:contextualSpacing/>
        <w:textAlignment w:val="baseline"/>
        <w:rPr>
          <w:rFonts w:cs="Tahoma"/>
          <w:szCs w:val="20"/>
        </w:rPr>
      </w:pPr>
      <w:r w:rsidRPr="00CC00D4">
        <w:rPr>
          <w:rFonts w:cs="Tahoma"/>
          <w:szCs w:val="20"/>
        </w:rPr>
        <w:t>I</w:t>
      </w:r>
      <w:r w:rsidRPr="00CC00D4">
        <w:rPr>
          <w:rFonts w:cs="Tahoma"/>
          <w:i/>
          <w:iCs/>
          <w:szCs w:val="20"/>
        </w:rPr>
        <w:t xml:space="preserve"> </w:t>
      </w:r>
      <w:r w:rsidRPr="00CC00D4">
        <w:rPr>
          <w:rFonts w:cs="Tahoma"/>
          <w:szCs w:val="20"/>
        </w:rPr>
        <w:t>“</w:t>
      </w:r>
      <w:r w:rsidRPr="00CC00D4">
        <w:rPr>
          <w:rFonts w:cs="Tahoma"/>
          <w:i/>
          <w:iCs/>
          <w:szCs w:val="20"/>
        </w:rPr>
        <w:t>redditi di lavoro autonomo abituale sono costituiti dalla differenza tra i compensi percepiti nel periodo d’imposta e le spese inerenti all’esercizio dell’arte o professione effettivamente sostenute nel periodo stesso, senza, quindi, prevedere un collegamento tra compenso e spesa sostenuta per conseguirlo</w:t>
      </w:r>
      <w:r w:rsidRPr="00CC00D4">
        <w:rPr>
          <w:rFonts w:cs="Tahoma"/>
          <w:szCs w:val="20"/>
        </w:rPr>
        <w:t>”;</w:t>
      </w:r>
    </w:p>
    <w:p w14:paraId="38DD8091" w14:textId="77777777" w:rsidR="002558B3" w:rsidRPr="00CC00D4" w:rsidRDefault="002558B3">
      <w:pPr>
        <w:pStyle w:val="Paragrafoelenco"/>
        <w:numPr>
          <w:ilvl w:val="0"/>
          <w:numId w:val="200"/>
        </w:numPr>
        <w:autoSpaceDN w:val="0"/>
        <w:ind w:left="709"/>
        <w:textAlignment w:val="baseline"/>
        <w:rPr>
          <w:rFonts w:cs="Tahoma"/>
          <w:szCs w:val="20"/>
        </w:rPr>
      </w:pPr>
      <w:r w:rsidRPr="00CC00D4">
        <w:rPr>
          <w:rFonts w:cs="Tahoma"/>
          <w:szCs w:val="20"/>
        </w:rPr>
        <w:t>I “</w:t>
      </w:r>
      <w:r w:rsidRPr="00CC00D4">
        <w:rPr>
          <w:rFonts w:cs="Tahoma"/>
          <w:i/>
          <w:iCs/>
          <w:szCs w:val="20"/>
        </w:rPr>
        <w:t>redditi di lavoro autonomo non abituale sono determinati, in ragione della loro occasionalità, tenendo conto del collegamento specifico tra compenso e spesa sostenuta per conseguirlo, in quanto deducibile nel periodo d’imposta in cui sono percepiti i compensi cui dette spese si riferiscono in modo specifico</w:t>
      </w:r>
      <w:r w:rsidRPr="00CC00D4">
        <w:rPr>
          <w:rFonts w:cs="Tahoma"/>
          <w:szCs w:val="20"/>
        </w:rPr>
        <w:t>”.</w:t>
      </w:r>
    </w:p>
    <w:p w14:paraId="249A0C6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Di conseguenza, nell’ipotesi di prestazioni di lavoro autonomo occasionale per il cui svolgimento “</w:t>
      </w:r>
      <w:r w:rsidRPr="00CC00D4">
        <w:rPr>
          <w:rFonts w:ascii="Tahoma" w:hAnsi="Tahoma" w:cs="Tahoma"/>
          <w:i/>
          <w:iCs/>
          <w:kern w:val="0"/>
          <w:sz w:val="20"/>
          <w:szCs w:val="20"/>
        </w:rPr>
        <w:t>è previsto solamente il rimborso delle spese strettamente necessarie per l’esecuzione della prestazione stessa o l’anticipo delle stesse da parte del committente, si genera un reddito diverso, derivante dal lavoro autonomo occasionale, pari a zero, anche se le spese sono sostenute in un diverso periodo d’imposta</w:t>
      </w:r>
      <w:r w:rsidRPr="00CC00D4">
        <w:rPr>
          <w:rFonts w:ascii="Tahoma" w:hAnsi="Tahoma" w:cs="Tahoma"/>
          <w:kern w:val="0"/>
          <w:sz w:val="20"/>
          <w:szCs w:val="20"/>
        </w:rPr>
        <w:t>”.</w:t>
      </w:r>
    </w:p>
    <w:p w14:paraId="44DB6B9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un’ottica di semplificazione, conclude l’Agenzia, per evitare al committente di “</w:t>
      </w:r>
      <w:r w:rsidRPr="00CC00D4">
        <w:rPr>
          <w:rFonts w:ascii="Tahoma" w:hAnsi="Tahoma" w:cs="Tahoma"/>
          <w:i/>
          <w:iCs/>
          <w:kern w:val="0"/>
          <w:sz w:val="20"/>
          <w:szCs w:val="20"/>
        </w:rPr>
        <w:t>effettuare e versare la ritenuta alla fonte in ipotesi di attività occasionali di carattere sostanzialmente gratuito, in quanto il compenso è pari alle spese sostenute</w:t>
      </w:r>
      <w:r w:rsidRPr="00CC00D4">
        <w:rPr>
          <w:rFonts w:ascii="Tahoma" w:hAnsi="Tahoma" w:cs="Tahoma"/>
          <w:kern w:val="0"/>
          <w:sz w:val="20"/>
          <w:szCs w:val="20"/>
        </w:rPr>
        <w:t>” si ritiene possibile “</w:t>
      </w:r>
      <w:r w:rsidRPr="00CC00D4">
        <w:rPr>
          <w:rFonts w:ascii="Tahoma" w:hAnsi="Tahoma" w:cs="Tahoma"/>
          <w:i/>
          <w:iCs/>
          <w:kern w:val="0"/>
          <w:sz w:val="20"/>
          <w:szCs w:val="20"/>
        </w:rPr>
        <w:t>non assoggettare a ritenuta alla fonte</w:t>
      </w:r>
      <w:r w:rsidRPr="00CC00D4">
        <w:rPr>
          <w:rFonts w:ascii="Tahoma" w:hAnsi="Tahoma" w:cs="Tahoma"/>
          <w:kern w:val="0"/>
          <w:sz w:val="20"/>
          <w:szCs w:val="20"/>
        </w:rPr>
        <w:t>” i rimborsi delle spese di viaggio, vitto e alloggio “</w:t>
      </w:r>
      <w:r w:rsidRPr="00CC00D4">
        <w:rPr>
          <w:rFonts w:ascii="Tahoma" w:hAnsi="Tahoma" w:cs="Tahoma"/>
          <w:i/>
          <w:iCs/>
          <w:kern w:val="0"/>
          <w:sz w:val="20"/>
          <w:szCs w:val="20"/>
        </w:rPr>
        <w:t>nell’ipotesi in cui le spese stesse siano solamente quelle strettamente necessarie</w:t>
      </w:r>
      <w:r w:rsidRPr="00CC00D4">
        <w:rPr>
          <w:rFonts w:ascii="Tahoma" w:hAnsi="Tahoma" w:cs="Tahoma"/>
          <w:kern w:val="0"/>
          <w:sz w:val="20"/>
          <w:szCs w:val="20"/>
        </w:rPr>
        <w:t>” per lo svolgimento dell’attività, previa acquisizione dei titoli certificativi delle spese.</w:t>
      </w:r>
    </w:p>
    <w:p w14:paraId="30BB705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Identica soluzione trova applicazione “</w:t>
      </w:r>
      <w:r w:rsidRPr="00CC00D4">
        <w:rPr>
          <w:rFonts w:ascii="Tahoma" w:hAnsi="Tahoma" w:cs="Tahoma"/>
          <w:i/>
          <w:iCs/>
          <w:kern w:val="0"/>
          <w:sz w:val="20"/>
          <w:szCs w:val="20"/>
        </w:rPr>
        <w:t>anche nell’ipotesi in cui le spese siano direttamente</w:t>
      </w:r>
      <w:r w:rsidRPr="00CC00D4">
        <w:rPr>
          <w:rFonts w:ascii="Tahoma" w:hAnsi="Tahoma" w:cs="Tahoma"/>
          <w:kern w:val="0"/>
          <w:sz w:val="20"/>
          <w:szCs w:val="20"/>
        </w:rPr>
        <w:t>” sostenute dal committente.</w:t>
      </w:r>
    </w:p>
    <w:p w14:paraId="21D0EC4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invece naturalmente escluse dalla semplificazione sopra citata le ipotesi in cui il compenso “</w:t>
      </w:r>
      <w:r w:rsidRPr="00CC00D4">
        <w:rPr>
          <w:rFonts w:ascii="Tahoma" w:hAnsi="Tahoma" w:cs="Tahoma"/>
          <w:i/>
          <w:iCs/>
          <w:kern w:val="0"/>
          <w:sz w:val="20"/>
          <w:szCs w:val="20"/>
        </w:rPr>
        <w:t>anche nella forma di spese rimborsate o anticipate dal committente, eccede le spese strettamente necessarie per lo svolgimento dell’attività occasionale, facendo venir meno il carattere sostanzialmente gratuito dell’attività stessa</w:t>
      </w:r>
      <w:r w:rsidRPr="00CC00D4">
        <w:rPr>
          <w:rFonts w:ascii="Tahoma" w:hAnsi="Tahoma" w:cs="Tahoma"/>
          <w:kern w:val="0"/>
          <w:sz w:val="20"/>
          <w:szCs w:val="20"/>
        </w:rPr>
        <w:t>”. In tal caso “</w:t>
      </w:r>
      <w:r w:rsidRPr="00CC00D4">
        <w:rPr>
          <w:rFonts w:ascii="Tahoma" w:hAnsi="Tahoma" w:cs="Tahoma"/>
          <w:i/>
          <w:iCs/>
          <w:kern w:val="0"/>
          <w:sz w:val="20"/>
          <w:szCs w:val="20"/>
        </w:rPr>
        <w:t>l’intero importo erogato dal committente costituirà reddito di lavoro autonomo occasionale assoggettabile a ritenuta</w:t>
      </w:r>
      <w:r w:rsidRPr="00CC00D4">
        <w:rPr>
          <w:rFonts w:ascii="Tahoma" w:hAnsi="Tahoma" w:cs="Tahoma"/>
          <w:kern w:val="0"/>
          <w:sz w:val="20"/>
          <w:szCs w:val="20"/>
        </w:rPr>
        <w:t>”.</w:t>
      </w:r>
    </w:p>
    <w:p w14:paraId="67054E9C"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1A5A950" w14:textId="5189C1A3" w:rsidR="002558B3" w:rsidRPr="00CC00D4" w:rsidRDefault="002558B3" w:rsidP="00C74627">
      <w:pPr>
        <w:pStyle w:val="Titolo2"/>
      </w:pPr>
      <w:bookmarkStart w:id="322" w:name="__RefHeading__4548_1479815270"/>
      <w:bookmarkStart w:id="323" w:name="_Toc92386540"/>
      <w:bookmarkStart w:id="324" w:name="_Toc124266310"/>
      <w:r w:rsidRPr="00CC00D4">
        <w:t>5.1 Ritenuta d’acconto</w:t>
      </w:r>
      <w:bookmarkEnd w:id="322"/>
      <w:bookmarkEnd w:id="323"/>
      <w:bookmarkEnd w:id="324"/>
    </w:p>
    <w:p w14:paraId="224BA48A" w14:textId="5584CADB"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Sulle somme imponibili fiscalmente corrisposte ai lavoratori autonomi occasionali il committente opera una ritenuta d’acconto a titolo di imposta sul reddito delle persone fisiche (IRPEF) pari al 20%.</w:t>
      </w:r>
    </w:p>
    <w:p w14:paraId="4AF4194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 stabilirlo l’articolo 25 “</w:t>
      </w:r>
      <w:r w:rsidRPr="00CC00D4">
        <w:rPr>
          <w:rFonts w:ascii="Tahoma" w:hAnsi="Tahoma" w:cs="Tahoma"/>
          <w:i/>
          <w:iCs/>
          <w:kern w:val="0"/>
          <w:sz w:val="20"/>
          <w:szCs w:val="20"/>
        </w:rPr>
        <w:t>Ritenuta sui redditi di lavoro autonomo e su altri redditi</w:t>
      </w:r>
      <w:r w:rsidRPr="00CC00D4">
        <w:rPr>
          <w:rFonts w:ascii="Tahoma" w:hAnsi="Tahoma" w:cs="Tahoma"/>
          <w:kern w:val="0"/>
          <w:sz w:val="20"/>
          <w:szCs w:val="20"/>
        </w:rPr>
        <w:t>” contenuto nel Decreto del Presidente della Repubblica del 29 settembre 1973 numero 600, in cui si prevede che i soggetti qualificati come sostituti d’imposta ai sensi del precedente comma 1 articolo 23, i quali “</w:t>
      </w:r>
      <w:r w:rsidRPr="00CC00D4">
        <w:rPr>
          <w:rFonts w:ascii="Tahoma" w:hAnsi="Tahoma" w:cs="Tahoma"/>
          <w:i/>
          <w:iCs/>
          <w:kern w:val="0"/>
          <w:sz w:val="20"/>
          <w:szCs w:val="20"/>
        </w:rPr>
        <w:t xml:space="preserve">corrispondono a soggetti residenti </w:t>
      </w:r>
      <w:r w:rsidRPr="00CC00D4">
        <w:rPr>
          <w:rFonts w:ascii="Tahoma" w:hAnsi="Tahoma" w:cs="Tahoma"/>
          <w:i/>
          <w:iCs/>
          <w:kern w:val="0"/>
          <w:sz w:val="20"/>
          <w:szCs w:val="20"/>
        </w:rPr>
        <w:lastRenderedPageBreak/>
        <w:t>nel territorio dello Stato compensi comunque denominati, anche sotto forma di partecipazione agli utili per prestazioni di lavoro autonomo, ancorché non esercitate abitualmente ovvero siano rese a terzi o nell’interesse di terzi o per l’assunzione di obblighi di fare, non fare o permettere, devono operare all’atto del pagamento una ritenuta del 20 per cento a titolo di acconto dell’imposta sul reddito delle persone fisiche dovuta dai percipienti, con l’obbligo di rivalsa</w:t>
      </w:r>
      <w:r w:rsidRPr="00CC00D4">
        <w:rPr>
          <w:rFonts w:ascii="Tahoma" w:hAnsi="Tahoma" w:cs="Tahoma"/>
          <w:kern w:val="0"/>
          <w:sz w:val="20"/>
          <w:szCs w:val="20"/>
        </w:rPr>
        <w:t>”.</w:t>
      </w:r>
    </w:p>
    <w:p w14:paraId="117A75CA"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2057451" w14:textId="22AA946F" w:rsidR="002558B3" w:rsidRPr="00CC00D4" w:rsidRDefault="002558B3" w:rsidP="00C74627">
      <w:pPr>
        <w:pStyle w:val="Titolo2"/>
      </w:pPr>
      <w:bookmarkStart w:id="325" w:name="__RefHeading__4550_1479815270"/>
      <w:bookmarkStart w:id="326" w:name="_Toc92386541"/>
      <w:bookmarkStart w:id="327" w:name="_Toc124266311"/>
      <w:r w:rsidRPr="00CC00D4">
        <w:t>5.2 Versamento con modello F24</w:t>
      </w:r>
      <w:bookmarkEnd w:id="325"/>
      <w:bookmarkEnd w:id="326"/>
      <w:bookmarkEnd w:id="327"/>
    </w:p>
    <w:p w14:paraId="464C082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Analogamente a quanto già descritto per il versamento dei contributi INPS - Gestione Separata, anche le ritenute d’acconto seguono il cosiddetto “principio di cassa”, dal momento che sono dovute a mezzo modello F24, inviato dal committente – sostituto d’imposta entro il giorno 16 del mese successivo quello in cui sono corrisposte le somme.</w:t>
      </w:r>
    </w:p>
    <w:p w14:paraId="6DE20AB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Fanno eccezione le somme riconosciute entro il 12 gennaio ma relative all’anno precedente. Le stesse si considerano di competenza di quest’ultimo in virtù del “principio di cassa allargato”.</w:t>
      </w:r>
    </w:p>
    <w:p w14:paraId="13C14DE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Rispetto al versamento dei contributi (al cui paragrafo dedicato si rinvia per quanto concerne i metodi di invio e pagamento del modello F24) le ritenute d’acconto operate nei confronti dei lavoratori autonomi occasionali devono essere indicate all’interno della sezione Erario, compilando i seguenti campi:</w:t>
      </w:r>
    </w:p>
    <w:p w14:paraId="79D60E26" w14:textId="77777777" w:rsidR="002558B3" w:rsidRPr="00CC00D4" w:rsidRDefault="002558B3">
      <w:pPr>
        <w:pStyle w:val="Paragrafoelenco"/>
        <w:numPr>
          <w:ilvl w:val="0"/>
          <w:numId w:val="199"/>
        </w:numPr>
        <w:autoSpaceDN w:val="0"/>
        <w:ind w:left="709" w:hanging="357"/>
        <w:contextualSpacing/>
        <w:textAlignment w:val="baseline"/>
        <w:rPr>
          <w:rFonts w:cs="Tahoma"/>
          <w:szCs w:val="20"/>
        </w:rPr>
      </w:pPr>
      <w:r w:rsidRPr="00CC00D4">
        <w:rPr>
          <w:rFonts w:cs="Tahoma"/>
          <w:bCs/>
          <w:szCs w:val="20"/>
        </w:rPr>
        <w:t>“</w:t>
      </w:r>
      <w:r w:rsidRPr="00CC00D4">
        <w:rPr>
          <w:rFonts w:cs="Tahoma"/>
          <w:bCs/>
          <w:i/>
          <w:iCs/>
          <w:szCs w:val="20"/>
        </w:rPr>
        <w:t>Codice tributo</w:t>
      </w:r>
      <w:r w:rsidRPr="00CC00D4">
        <w:rPr>
          <w:rFonts w:cs="Tahoma"/>
          <w:bCs/>
          <w:szCs w:val="20"/>
        </w:rPr>
        <w:t>” il valore “</w:t>
      </w:r>
      <w:r w:rsidRPr="00CC00D4">
        <w:rPr>
          <w:rFonts w:cs="Tahoma"/>
          <w:bCs/>
          <w:i/>
          <w:iCs/>
          <w:szCs w:val="20"/>
        </w:rPr>
        <w:t>1040</w:t>
      </w:r>
      <w:r w:rsidRPr="00CC00D4">
        <w:rPr>
          <w:rFonts w:cs="Tahoma"/>
          <w:bCs/>
          <w:szCs w:val="20"/>
        </w:rPr>
        <w:t>” identificativo di “</w:t>
      </w:r>
      <w:r w:rsidRPr="00CC00D4">
        <w:rPr>
          <w:rFonts w:cs="Tahoma"/>
          <w:bCs/>
          <w:i/>
          <w:iCs/>
          <w:szCs w:val="20"/>
        </w:rPr>
        <w:t>Ritenute su redditi di lavoro autonomo / compensi per l’esercizio di arti e professioni</w:t>
      </w:r>
      <w:r w:rsidRPr="00CC00D4">
        <w:rPr>
          <w:rFonts w:cs="Tahoma"/>
          <w:bCs/>
          <w:szCs w:val="20"/>
        </w:rPr>
        <w:t>” di cui agli articoli 25 e 25-</w:t>
      </w:r>
      <w:r w:rsidRPr="00CC00D4">
        <w:rPr>
          <w:rFonts w:cs="Tahoma"/>
          <w:bCs/>
          <w:i/>
          <w:iCs/>
          <w:szCs w:val="20"/>
        </w:rPr>
        <w:t xml:space="preserve">quater </w:t>
      </w:r>
      <w:r w:rsidRPr="00CC00D4">
        <w:rPr>
          <w:rFonts w:cs="Tahoma"/>
          <w:bCs/>
          <w:szCs w:val="20"/>
        </w:rPr>
        <w:t>del Decreto del Presidente della Repubblica 29 settembre 1973 numero 600;</w:t>
      </w:r>
    </w:p>
    <w:p w14:paraId="23E9BE58" w14:textId="77777777" w:rsidR="002558B3" w:rsidRPr="00CC00D4" w:rsidRDefault="002558B3">
      <w:pPr>
        <w:pStyle w:val="Paragrafoelenco"/>
        <w:numPr>
          <w:ilvl w:val="0"/>
          <w:numId w:val="199"/>
        </w:numPr>
        <w:autoSpaceDN w:val="0"/>
        <w:ind w:left="709" w:hanging="357"/>
        <w:contextualSpacing/>
        <w:textAlignment w:val="baseline"/>
        <w:rPr>
          <w:rFonts w:cs="Tahoma"/>
          <w:szCs w:val="20"/>
        </w:rPr>
      </w:pPr>
      <w:r w:rsidRPr="00CC00D4">
        <w:rPr>
          <w:rFonts w:cs="Tahoma"/>
          <w:bCs/>
          <w:szCs w:val="20"/>
        </w:rPr>
        <w:t>“</w:t>
      </w:r>
      <w:r w:rsidRPr="00CC00D4">
        <w:rPr>
          <w:rFonts w:cs="Tahoma"/>
          <w:bCs/>
          <w:i/>
          <w:iCs/>
          <w:szCs w:val="20"/>
        </w:rPr>
        <w:t>Rateazione / regione / mese rif.</w:t>
      </w:r>
      <w:r w:rsidRPr="00CC00D4">
        <w:rPr>
          <w:rFonts w:cs="Tahoma"/>
          <w:bCs/>
          <w:szCs w:val="20"/>
        </w:rPr>
        <w:t>” si dovrà indicare il mese di riferimento della ritenuta;</w:t>
      </w:r>
    </w:p>
    <w:p w14:paraId="5937F73B" w14:textId="77777777" w:rsidR="002558B3" w:rsidRPr="00CC00D4" w:rsidRDefault="002558B3">
      <w:pPr>
        <w:pStyle w:val="Paragrafoelenco"/>
        <w:numPr>
          <w:ilvl w:val="0"/>
          <w:numId w:val="199"/>
        </w:numPr>
        <w:autoSpaceDN w:val="0"/>
        <w:ind w:left="709" w:hanging="357"/>
        <w:contextualSpacing/>
        <w:textAlignment w:val="baseline"/>
        <w:rPr>
          <w:rFonts w:cs="Tahoma"/>
          <w:szCs w:val="20"/>
        </w:rPr>
      </w:pPr>
      <w:r w:rsidRPr="00CC00D4">
        <w:rPr>
          <w:rFonts w:cs="Tahoma"/>
          <w:bCs/>
          <w:szCs w:val="20"/>
        </w:rPr>
        <w:t>“</w:t>
      </w:r>
      <w:r w:rsidRPr="00CC00D4">
        <w:rPr>
          <w:rFonts w:cs="Tahoma"/>
          <w:bCs/>
          <w:i/>
          <w:iCs/>
          <w:szCs w:val="20"/>
        </w:rPr>
        <w:t>Anno di riferimento</w:t>
      </w:r>
      <w:r w:rsidRPr="00CC00D4">
        <w:rPr>
          <w:rFonts w:cs="Tahoma"/>
          <w:bCs/>
          <w:szCs w:val="20"/>
        </w:rPr>
        <w:t>” l’anno per cui si effettua il pagamento;</w:t>
      </w:r>
    </w:p>
    <w:p w14:paraId="5314744A" w14:textId="77777777" w:rsidR="002558B3" w:rsidRPr="00CC00D4" w:rsidRDefault="002558B3">
      <w:pPr>
        <w:pStyle w:val="Paragrafoelenco"/>
        <w:numPr>
          <w:ilvl w:val="0"/>
          <w:numId w:val="199"/>
        </w:numPr>
        <w:autoSpaceDN w:val="0"/>
        <w:ind w:left="709"/>
        <w:textAlignment w:val="baseline"/>
        <w:rPr>
          <w:rFonts w:cs="Tahoma"/>
          <w:szCs w:val="20"/>
        </w:rPr>
      </w:pPr>
      <w:r w:rsidRPr="00CC00D4">
        <w:rPr>
          <w:rFonts w:cs="Tahoma"/>
          <w:bCs/>
          <w:szCs w:val="20"/>
        </w:rPr>
        <w:t>“</w:t>
      </w:r>
      <w:r w:rsidRPr="00CC00D4">
        <w:rPr>
          <w:rFonts w:cs="Tahoma"/>
          <w:bCs/>
          <w:i/>
          <w:iCs/>
          <w:szCs w:val="20"/>
        </w:rPr>
        <w:t>Importi a debito versati</w:t>
      </w:r>
      <w:r w:rsidRPr="00CC00D4">
        <w:rPr>
          <w:rFonts w:cs="Tahoma"/>
          <w:bCs/>
          <w:szCs w:val="20"/>
        </w:rPr>
        <w:t>” l’ammontare della ritenuta d’acconto.</w:t>
      </w:r>
    </w:p>
    <w:p w14:paraId="52BE1D4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istruzioni per la compilazione del modello F24 sono in ogni caso disponibili sul portale ADE “</w:t>
      </w:r>
      <w:r w:rsidRPr="00CC00D4">
        <w:rPr>
          <w:rFonts w:ascii="Tahoma" w:hAnsi="Tahoma" w:cs="Tahoma"/>
          <w:bCs/>
          <w:i/>
          <w:iCs/>
          <w:kern w:val="0"/>
          <w:sz w:val="20"/>
          <w:szCs w:val="20"/>
        </w:rPr>
        <w:t>agenziaentrate.gov.it – Servizi – Ricerca codici tributo – Come compilare il modello F24</w:t>
      </w:r>
      <w:r w:rsidRPr="00CC00D4">
        <w:rPr>
          <w:rFonts w:ascii="Tahoma" w:hAnsi="Tahoma" w:cs="Tahoma"/>
          <w:bCs/>
          <w:kern w:val="0"/>
          <w:sz w:val="20"/>
          <w:szCs w:val="20"/>
        </w:rPr>
        <w:t xml:space="preserve">”.   </w:t>
      </w:r>
    </w:p>
    <w:p w14:paraId="62758022"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0C18EAA" w14:textId="47599524" w:rsidR="002558B3" w:rsidRPr="00CC00D4" w:rsidRDefault="002558B3" w:rsidP="00C74627">
      <w:pPr>
        <w:pStyle w:val="Titolo2"/>
      </w:pPr>
      <w:bookmarkStart w:id="328" w:name="__RefHeading__4552_1479815270"/>
      <w:bookmarkStart w:id="329" w:name="_Toc92386542"/>
      <w:bookmarkStart w:id="330" w:name="_Toc124266312"/>
      <w:r w:rsidRPr="00CC00D4">
        <w:t>5.3 Sostituti d’imposta</w:t>
      </w:r>
      <w:bookmarkEnd w:id="328"/>
      <w:bookmarkEnd w:id="329"/>
      <w:bookmarkEnd w:id="330"/>
    </w:p>
    <w:p w14:paraId="2C8AE25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qualificati come sostituti d’imposta, ai sensi del citato comma 1 articolo 23 Decreto del Presidente della Repubblica del 29 settembre 1973 numero 600:</w:t>
      </w:r>
    </w:p>
    <w:p w14:paraId="671990CC" w14:textId="77777777" w:rsidR="002558B3" w:rsidRPr="00CC00D4" w:rsidRDefault="002558B3">
      <w:pPr>
        <w:pStyle w:val="Paragrafoelenco"/>
        <w:numPr>
          <w:ilvl w:val="0"/>
          <w:numId w:val="198"/>
        </w:numPr>
        <w:autoSpaceDN w:val="0"/>
        <w:ind w:left="709" w:hanging="357"/>
        <w:contextualSpacing/>
        <w:textAlignment w:val="baseline"/>
        <w:rPr>
          <w:rFonts w:cs="Tahoma"/>
          <w:szCs w:val="20"/>
        </w:rPr>
      </w:pPr>
      <w:r w:rsidRPr="00CC00D4">
        <w:rPr>
          <w:rFonts w:cs="Tahoma"/>
          <w:szCs w:val="20"/>
        </w:rPr>
        <w:t>Gli enti e le società indicati nell’articolo 87 comma 1 del TUIR;</w:t>
      </w:r>
    </w:p>
    <w:p w14:paraId="5AD4CB9B" w14:textId="77777777" w:rsidR="002558B3" w:rsidRPr="00CC00D4" w:rsidRDefault="002558B3">
      <w:pPr>
        <w:pStyle w:val="Paragrafoelenco"/>
        <w:numPr>
          <w:ilvl w:val="0"/>
          <w:numId w:val="198"/>
        </w:numPr>
        <w:autoSpaceDN w:val="0"/>
        <w:ind w:left="709" w:hanging="357"/>
        <w:contextualSpacing/>
        <w:textAlignment w:val="baseline"/>
        <w:rPr>
          <w:rFonts w:cs="Tahoma"/>
          <w:szCs w:val="20"/>
        </w:rPr>
      </w:pPr>
      <w:r w:rsidRPr="00CC00D4">
        <w:rPr>
          <w:rFonts w:cs="Tahoma"/>
          <w:szCs w:val="20"/>
        </w:rPr>
        <w:lastRenderedPageBreak/>
        <w:t>Le società e le associazioni di cui all’articolo 5 TUIR;</w:t>
      </w:r>
    </w:p>
    <w:p w14:paraId="3093EFEC" w14:textId="77777777" w:rsidR="002558B3" w:rsidRPr="00CC00D4" w:rsidRDefault="002558B3">
      <w:pPr>
        <w:pStyle w:val="Paragrafoelenco"/>
        <w:numPr>
          <w:ilvl w:val="0"/>
          <w:numId w:val="198"/>
        </w:numPr>
        <w:autoSpaceDN w:val="0"/>
        <w:ind w:left="709" w:hanging="357"/>
        <w:contextualSpacing/>
        <w:textAlignment w:val="baseline"/>
        <w:rPr>
          <w:rFonts w:cs="Tahoma"/>
          <w:szCs w:val="20"/>
        </w:rPr>
      </w:pPr>
      <w:r w:rsidRPr="00CC00D4">
        <w:rPr>
          <w:rFonts w:cs="Tahoma"/>
          <w:szCs w:val="20"/>
        </w:rPr>
        <w:t>Le persone fisiche che esercitano imprese commerciali (articolo 51 TUIR) o agricole;</w:t>
      </w:r>
    </w:p>
    <w:p w14:paraId="3667F8D1" w14:textId="77777777" w:rsidR="002558B3" w:rsidRPr="00CC00D4" w:rsidRDefault="002558B3">
      <w:pPr>
        <w:pStyle w:val="Paragrafoelenco"/>
        <w:numPr>
          <w:ilvl w:val="0"/>
          <w:numId w:val="198"/>
        </w:numPr>
        <w:autoSpaceDN w:val="0"/>
        <w:ind w:left="709" w:hanging="357"/>
        <w:contextualSpacing/>
        <w:textAlignment w:val="baseline"/>
        <w:rPr>
          <w:rFonts w:cs="Tahoma"/>
          <w:szCs w:val="20"/>
        </w:rPr>
      </w:pPr>
      <w:r w:rsidRPr="00CC00D4">
        <w:rPr>
          <w:rFonts w:cs="Tahoma"/>
          <w:szCs w:val="20"/>
        </w:rPr>
        <w:t>Persone fisiche che esercitano arti e professioni;</w:t>
      </w:r>
    </w:p>
    <w:p w14:paraId="4DC139B9" w14:textId="77777777" w:rsidR="002558B3" w:rsidRPr="00CC00D4" w:rsidRDefault="002558B3">
      <w:pPr>
        <w:pStyle w:val="Paragrafoelenco"/>
        <w:numPr>
          <w:ilvl w:val="0"/>
          <w:numId w:val="198"/>
        </w:numPr>
        <w:autoSpaceDN w:val="0"/>
        <w:ind w:left="709"/>
        <w:textAlignment w:val="baseline"/>
        <w:rPr>
          <w:rFonts w:cs="Tahoma"/>
          <w:szCs w:val="20"/>
        </w:rPr>
      </w:pPr>
      <w:r w:rsidRPr="00CC00D4">
        <w:rPr>
          <w:rFonts w:cs="Tahoma"/>
          <w:szCs w:val="20"/>
        </w:rPr>
        <w:t>Il curatore fallimentare, commissario liquidatore o il condominio.</w:t>
      </w:r>
    </w:p>
    <w:p w14:paraId="08D0593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Tali soggetti devono operare all’atto del pagamento di somme e valori una “</w:t>
      </w:r>
      <w:r w:rsidRPr="00CC00D4">
        <w:rPr>
          <w:rFonts w:ascii="Tahoma" w:hAnsi="Tahoma" w:cs="Tahoma"/>
          <w:i/>
          <w:iCs/>
          <w:kern w:val="0"/>
          <w:sz w:val="20"/>
          <w:szCs w:val="20"/>
        </w:rPr>
        <w:t>ritenuta a titolo di acconto dell’imposta sul reddito delle persone fisiche dovuta dai percipienti, con obbligo di rivalsa</w:t>
      </w:r>
      <w:r w:rsidRPr="00CC00D4">
        <w:rPr>
          <w:rFonts w:ascii="Tahoma" w:hAnsi="Tahoma" w:cs="Tahoma"/>
          <w:kern w:val="0"/>
          <w:sz w:val="20"/>
          <w:szCs w:val="20"/>
        </w:rPr>
        <w:t>”.</w:t>
      </w:r>
    </w:p>
    <w:p w14:paraId="3BFB086B"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87EB342" w14:textId="77777777" w:rsidR="002558B3" w:rsidRPr="00CC00D4" w:rsidRDefault="002558B3" w:rsidP="002558B3">
      <w:pPr>
        <w:pStyle w:val="Standard"/>
        <w:spacing w:after="200" w:line="360" w:lineRule="auto"/>
        <w:jc w:val="both"/>
        <w:rPr>
          <w:rFonts w:ascii="Tahoma" w:hAnsi="Tahoma" w:cs="Tahoma"/>
          <w:b/>
          <w:bCs/>
          <w:i/>
          <w:iCs/>
          <w:kern w:val="0"/>
          <w:sz w:val="20"/>
          <w:szCs w:val="20"/>
          <w:u w:val="single"/>
        </w:rPr>
      </w:pPr>
    </w:p>
    <w:p w14:paraId="1FAFC245" w14:textId="77777777" w:rsidR="002558B3" w:rsidRPr="00CC00D4" w:rsidRDefault="002558B3" w:rsidP="002558B3">
      <w:pPr>
        <w:pStyle w:val="Standard"/>
        <w:spacing w:after="200" w:line="360" w:lineRule="auto"/>
        <w:jc w:val="both"/>
        <w:rPr>
          <w:rFonts w:ascii="Tahoma" w:hAnsi="Tahoma" w:cs="Tahoma"/>
          <w:b/>
          <w:bCs/>
          <w:i/>
          <w:iCs/>
          <w:kern w:val="0"/>
          <w:sz w:val="20"/>
          <w:szCs w:val="20"/>
          <w:u w:val="single"/>
        </w:rPr>
      </w:pPr>
    </w:p>
    <w:p w14:paraId="34BC9BFF" w14:textId="77777777" w:rsidR="002558B3" w:rsidRPr="00CC00D4" w:rsidRDefault="002558B3" w:rsidP="002558B3">
      <w:pPr>
        <w:pStyle w:val="Standard"/>
        <w:spacing w:after="200" w:line="360" w:lineRule="auto"/>
        <w:jc w:val="both"/>
        <w:rPr>
          <w:rFonts w:ascii="Tahoma" w:hAnsi="Tahoma" w:cs="Tahoma"/>
          <w:b/>
          <w:bCs/>
          <w:i/>
          <w:iCs/>
          <w:kern w:val="0"/>
          <w:sz w:val="20"/>
          <w:szCs w:val="20"/>
          <w:u w:val="single"/>
        </w:rPr>
      </w:pPr>
    </w:p>
    <w:p w14:paraId="42B951B0" w14:textId="77777777" w:rsidR="002558B3" w:rsidRPr="00CC00D4" w:rsidRDefault="002558B3" w:rsidP="002558B3">
      <w:pPr>
        <w:pStyle w:val="Standard"/>
        <w:spacing w:after="200" w:line="360" w:lineRule="auto"/>
        <w:jc w:val="both"/>
        <w:rPr>
          <w:rFonts w:ascii="Tahoma" w:hAnsi="Tahoma" w:cs="Tahoma"/>
          <w:b/>
          <w:bCs/>
          <w:i/>
          <w:iCs/>
          <w:kern w:val="0"/>
          <w:sz w:val="20"/>
          <w:szCs w:val="20"/>
          <w:u w:val="single"/>
        </w:rPr>
      </w:pPr>
    </w:p>
    <w:p w14:paraId="5A7FB4C9" w14:textId="77777777" w:rsidR="002558B3" w:rsidRPr="00CC00D4" w:rsidRDefault="002558B3" w:rsidP="002558B3">
      <w:pPr>
        <w:pStyle w:val="Standard"/>
        <w:spacing w:after="200" w:line="360" w:lineRule="auto"/>
        <w:jc w:val="both"/>
        <w:rPr>
          <w:rFonts w:ascii="Tahoma" w:hAnsi="Tahoma" w:cs="Tahoma"/>
          <w:b/>
          <w:bCs/>
          <w:i/>
          <w:iCs/>
          <w:kern w:val="0"/>
          <w:sz w:val="20"/>
          <w:szCs w:val="20"/>
          <w:u w:val="single"/>
        </w:rPr>
      </w:pPr>
    </w:p>
    <w:p w14:paraId="704779C7" w14:textId="77777777" w:rsidR="002558B3" w:rsidRPr="00CC00D4" w:rsidRDefault="002558B3" w:rsidP="002558B3">
      <w:pPr>
        <w:pStyle w:val="Standard"/>
        <w:spacing w:after="200" w:line="360" w:lineRule="auto"/>
        <w:jc w:val="both"/>
        <w:rPr>
          <w:rFonts w:ascii="Tahoma" w:hAnsi="Tahoma" w:cs="Tahoma"/>
          <w:b/>
          <w:i/>
          <w:kern w:val="0"/>
          <w:sz w:val="20"/>
          <w:szCs w:val="20"/>
        </w:rPr>
      </w:pPr>
    </w:p>
    <w:p w14:paraId="0117C3AE" w14:textId="77777777" w:rsidR="009E771B" w:rsidRPr="00CC00D4" w:rsidRDefault="009E771B" w:rsidP="00BA638F">
      <w:pPr>
        <w:pStyle w:val="Titolo1"/>
        <w:sectPr w:rsidR="009E771B" w:rsidRPr="00CC00D4">
          <w:pgSz w:w="11906" w:h="16838"/>
          <w:pgMar w:top="776" w:right="1134" w:bottom="777" w:left="1134" w:header="720" w:footer="720" w:gutter="0"/>
          <w:cols w:space="720"/>
          <w:titlePg/>
          <w:docGrid w:linePitch="272"/>
        </w:sectPr>
      </w:pPr>
      <w:bookmarkStart w:id="331" w:name="_Toc92386543"/>
      <w:bookmarkStart w:id="332" w:name="__RefHeading__4554_1479815270"/>
    </w:p>
    <w:p w14:paraId="07BA8B68" w14:textId="77777777" w:rsidR="009E771B" w:rsidRPr="00CC00D4" w:rsidRDefault="002558B3" w:rsidP="00BA638F">
      <w:pPr>
        <w:pStyle w:val="Titolo1"/>
      </w:pPr>
      <w:bookmarkStart w:id="333" w:name="_Toc124266313"/>
      <w:r w:rsidRPr="00CC00D4">
        <w:lastRenderedPageBreak/>
        <w:t>6.</w:t>
      </w:r>
      <w:bookmarkEnd w:id="333"/>
      <w:r w:rsidRPr="00CC00D4">
        <w:t xml:space="preserve"> </w:t>
      </w:r>
    </w:p>
    <w:bookmarkStart w:id="334" w:name="_Toc124266314"/>
    <w:p w14:paraId="1A82DA2B" w14:textId="0284EC4A" w:rsidR="002558B3" w:rsidRPr="00CC00D4" w:rsidRDefault="00985370" w:rsidP="00BA638F">
      <w:pPr>
        <w:pStyle w:val="Titolo1"/>
      </w:pPr>
      <w:r w:rsidRPr="00CC00D4">
        <w:rPr>
          <w:noProof/>
          <w:lang w:eastAsia="it-IT"/>
        </w:rPr>
        <mc:AlternateContent>
          <mc:Choice Requires="wps">
            <w:drawing>
              <wp:anchor distT="0" distB="0" distL="114300" distR="114300" simplePos="0" relativeHeight="251657216" behindDoc="0" locked="0" layoutInCell="1" allowOverlap="1" wp14:anchorId="7A76ED83" wp14:editId="3F82A2AA">
                <wp:simplePos x="0" y="0"/>
                <wp:positionH relativeFrom="column">
                  <wp:posOffset>1797050</wp:posOffset>
                </wp:positionH>
                <wp:positionV relativeFrom="paragraph">
                  <wp:posOffset>53975</wp:posOffset>
                </wp:positionV>
                <wp:extent cx="2443480" cy="6350"/>
                <wp:effectExtent l="12065" t="12700" r="11430" b="19050"/>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735F89" id="AutoShape 120" o:spid="_x0000_s1026" type="#_x0000_t32" style="position:absolute;margin-left:141.5pt;margin-top:4.25pt;width:192.4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" strokecolor="#404040" strokeweight=".53mm">
                <v:stroke joinstyle="miter" endcap="square"/>
              </v:shape>
            </w:pict>
          </mc:Fallback>
        </mc:AlternateContent>
      </w:r>
      <w:r w:rsidR="002558B3" w:rsidRPr="00CC00D4">
        <w:t>Esempi di calcolo del netto da corrispondere</w:t>
      </w:r>
      <w:bookmarkEnd w:id="331"/>
      <w:bookmarkEnd w:id="332"/>
      <w:bookmarkEnd w:id="334"/>
    </w:p>
    <w:p w14:paraId="28F86A3E" w14:textId="77777777" w:rsidR="002558B3" w:rsidRPr="00CC00D4" w:rsidRDefault="002558B3" w:rsidP="002558B3">
      <w:pPr>
        <w:pStyle w:val="Standard"/>
        <w:spacing w:after="200" w:line="360" w:lineRule="auto"/>
        <w:jc w:val="both"/>
        <w:rPr>
          <w:rFonts w:ascii="Tahoma" w:hAnsi="Tahoma" w:cs="Tahoma"/>
          <w:b/>
          <w:bCs/>
          <w:i/>
          <w:iCs/>
          <w:kern w:val="0"/>
          <w:sz w:val="20"/>
          <w:szCs w:val="20"/>
        </w:rPr>
      </w:pPr>
    </w:p>
    <w:p w14:paraId="5D109AB6" w14:textId="77777777" w:rsidR="009E771B" w:rsidRPr="00CC00D4" w:rsidRDefault="009E771B" w:rsidP="002558B3">
      <w:pPr>
        <w:pStyle w:val="Standard"/>
        <w:spacing w:after="200" w:line="360" w:lineRule="auto"/>
        <w:jc w:val="both"/>
        <w:rPr>
          <w:rFonts w:ascii="Tahoma" w:hAnsi="Tahoma" w:cs="Tahoma"/>
          <w:b/>
          <w:bCs/>
          <w:i/>
          <w:iCs/>
          <w:kern w:val="0"/>
          <w:sz w:val="20"/>
          <w:szCs w:val="20"/>
        </w:rPr>
      </w:pPr>
    </w:p>
    <w:p w14:paraId="610C1391" w14:textId="77777777" w:rsidR="009E771B" w:rsidRPr="00CC00D4" w:rsidRDefault="009E771B" w:rsidP="002558B3">
      <w:pPr>
        <w:pStyle w:val="Standard"/>
        <w:spacing w:after="200" w:line="360" w:lineRule="auto"/>
        <w:jc w:val="both"/>
        <w:rPr>
          <w:rFonts w:ascii="Tahoma" w:hAnsi="Tahoma" w:cs="Tahoma"/>
          <w:b/>
          <w:bCs/>
          <w:i/>
          <w:iCs/>
          <w:kern w:val="0"/>
          <w:sz w:val="20"/>
          <w:szCs w:val="20"/>
        </w:rPr>
      </w:pPr>
    </w:p>
    <w:p w14:paraId="275782EF" w14:textId="77777777" w:rsidR="009E771B" w:rsidRPr="00CC00D4" w:rsidRDefault="009E771B" w:rsidP="002558B3">
      <w:pPr>
        <w:pStyle w:val="Standard"/>
        <w:spacing w:after="200" w:line="360" w:lineRule="auto"/>
        <w:jc w:val="both"/>
        <w:rPr>
          <w:rFonts w:ascii="Tahoma" w:hAnsi="Tahoma" w:cs="Tahoma"/>
          <w:b/>
          <w:bCs/>
          <w:i/>
          <w:iCs/>
          <w:kern w:val="0"/>
          <w:sz w:val="20"/>
          <w:szCs w:val="20"/>
        </w:rPr>
      </w:pPr>
    </w:p>
    <w:p w14:paraId="6346DBD2" w14:textId="77777777" w:rsidR="009E771B" w:rsidRPr="00CC00D4" w:rsidRDefault="009E771B" w:rsidP="002558B3">
      <w:pPr>
        <w:pStyle w:val="Standard"/>
        <w:spacing w:after="200" w:line="360" w:lineRule="auto"/>
        <w:jc w:val="both"/>
        <w:rPr>
          <w:rFonts w:ascii="Tahoma" w:hAnsi="Tahoma" w:cs="Tahoma"/>
          <w:b/>
          <w:bCs/>
          <w:i/>
          <w:iCs/>
          <w:kern w:val="0"/>
          <w:sz w:val="20"/>
          <w:szCs w:val="20"/>
        </w:rPr>
      </w:pPr>
    </w:p>
    <w:p w14:paraId="306BEEB1" w14:textId="77777777" w:rsidR="009E771B" w:rsidRPr="00CC00D4" w:rsidRDefault="009E771B" w:rsidP="002558B3">
      <w:pPr>
        <w:pStyle w:val="Standard"/>
        <w:spacing w:after="200" w:line="360" w:lineRule="auto"/>
        <w:jc w:val="both"/>
        <w:rPr>
          <w:rFonts w:ascii="Tahoma" w:hAnsi="Tahoma" w:cs="Tahoma"/>
          <w:b/>
          <w:bCs/>
          <w:i/>
          <w:iCs/>
          <w:kern w:val="0"/>
          <w:sz w:val="20"/>
          <w:szCs w:val="20"/>
        </w:rPr>
      </w:pPr>
    </w:p>
    <w:p w14:paraId="37B0C941" w14:textId="686F76BF" w:rsidR="002558B3" w:rsidRPr="00CC00D4" w:rsidRDefault="002558B3" w:rsidP="00C74627">
      <w:pPr>
        <w:pStyle w:val="Titolo2"/>
      </w:pPr>
      <w:bookmarkStart w:id="335" w:name="__RefHeading__4556_1479815270"/>
      <w:bookmarkStart w:id="336" w:name="_Toc92386544"/>
      <w:bookmarkStart w:id="337" w:name="_Toc124266315"/>
      <w:r w:rsidRPr="00CC00D4">
        <w:t>6.1 Lavoratore non iscritto ad altre forme di previdenza obbligatoria</w:t>
      </w:r>
      <w:bookmarkEnd w:id="335"/>
      <w:bookmarkEnd w:id="336"/>
      <w:bookmarkEnd w:id="337"/>
    </w:p>
    <w:p w14:paraId="14258AF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Di seguito la simulazione del compenso da riconoscere ad un lavoratore autonomo occasionale con aliquota INPS Gestione Separata pari al 33,72% di cui 1/3 (11,24%) a suo carico ed i restanti 2/3 (22,48%) in capo al committente. </w:t>
      </w:r>
      <w:r w:rsidRPr="00CC00D4">
        <w:rPr>
          <w:rFonts w:ascii="Tahoma" w:hAnsi="Tahoma" w:cs="Tahoma"/>
          <w:i/>
          <w:iCs/>
          <w:kern w:val="0"/>
          <w:sz w:val="20"/>
          <w:szCs w:val="20"/>
          <w:u w:val="single"/>
        </w:rPr>
        <w:t xml:space="preserve"> </w:t>
      </w:r>
    </w:p>
    <w:p w14:paraId="7F521DF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Compenso lordo</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9.000,00</w:t>
      </w:r>
    </w:p>
    <w:p w14:paraId="0C53A76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Imponibile previdenziale (9.000 – 5.000)</w:t>
      </w:r>
      <w:r w:rsidRPr="00CC00D4">
        <w:rPr>
          <w:rFonts w:ascii="Tahoma" w:hAnsi="Tahoma" w:cs="Tahoma"/>
          <w:kern w:val="0"/>
          <w:sz w:val="20"/>
          <w:szCs w:val="20"/>
        </w:rPr>
        <w:tab/>
        <w:t>4.000,00</w:t>
      </w:r>
    </w:p>
    <w:p w14:paraId="004AEAA0" w14:textId="4661C667" w:rsidR="002558B3" w:rsidRPr="00CC00D4" w:rsidRDefault="002558B3" w:rsidP="002558B3">
      <w:pPr>
        <w:pStyle w:val="Standard"/>
        <w:spacing w:after="200" w:line="360" w:lineRule="auto"/>
        <w:jc w:val="both"/>
        <w:rPr>
          <w:rFonts w:ascii="Tahoma" w:hAnsi="Tahoma" w:cs="Tahoma"/>
          <w:kern w:val="0"/>
          <w:sz w:val="20"/>
          <w:szCs w:val="20"/>
        </w:rPr>
      </w:pPr>
      <w:commentRangeStart w:id="338"/>
      <w:r w:rsidRPr="00CC00D4">
        <w:rPr>
          <w:rFonts w:ascii="Tahoma" w:hAnsi="Tahoma" w:cs="Tahoma"/>
          <w:kern w:val="0"/>
          <w:sz w:val="20"/>
          <w:szCs w:val="20"/>
        </w:rPr>
        <w:t>Contributo INPS c/lavoratore (11,24%)</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 xml:space="preserve">   </w:t>
      </w:r>
      <w:r w:rsidR="003004C4" w:rsidRPr="00CC00D4">
        <w:rPr>
          <w:rFonts w:ascii="Tahoma" w:hAnsi="Tahoma" w:cs="Tahoma"/>
          <w:kern w:val="0"/>
          <w:sz w:val="20"/>
          <w:szCs w:val="20"/>
        </w:rPr>
        <w:tab/>
      </w:r>
      <w:r w:rsidRPr="00CC00D4">
        <w:rPr>
          <w:rFonts w:ascii="Tahoma" w:hAnsi="Tahoma" w:cs="Tahoma"/>
          <w:kern w:val="0"/>
          <w:sz w:val="20"/>
          <w:szCs w:val="20"/>
        </w:rPr>
        <w:t>449,60</w:t>
      </w:r>
      <w:commentRangeEnd w:id="338"/>
      <w:r w:rsidR="00C42B05" w:rsidRPr="00CC00D4">
        <w:rPr>
          <w:rStyle w:val="Rimandocommento"/>
          <w:rFonts w:ascii="Calibri" w:hAnsi="Calibri" w:cs="F"/>
          <w:color w:val="auto"/>
          <w:kern w:val="3"/>
          <w:lang w:eastAsia="it-IT" w:bidi="ar-SA"/>
        </w:rPr>
        <w:commentReference w:id="338"/>
      </w:r>
    </w:p>
    <w:p w14:paraId="5517B06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Imponibile fiscale</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9.000,00</w:t>
      </w:r>
      <w:r w:rsidRPr="00CC00D4">
        <w:rPr>
          <w:rFonts w:ascii="Tahoma" w:hAnsi="Tahoma" w:cs="Tahoma"/>
          <w:kern w:val="0"/>
          <w:sz w:val="20"/>
          <w:szCs w:val="20"/>
        </w:rPr>
        <w:tab/>
      </w:r>
    </w:p>
    <w:p w14:paraId="08D8173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Ritenuta d’acconto (20%)</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1.800,00</w:t>
      </w:r>
    </w:p>
    <w:p w14:paraId="64FEB9F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u w:val="single"/>
        </w:rPr>
        <w:t>Netto (compenso lordo – ctr INPS – ritenuta acc.to)</w:t>
      </w:r>
      <w:r w:rsidRPr="00CC00D4">
        <w:rPr>
          <w:rFonts w:ascii="Tahoma" w:hAnsi="Tahoma" w:cs="Tahoma"/>
          <w:kern w:val="0"/>
          <w:sz w:val="20"/>
          <w:szCs w:val="20"/>
          <w:u w:val="single"/>
        </w:rPr>
        <w:tab/>
      </w:r>
      <w:r w:rsidRPr="00CC00D4">
        <w:rPr>
          <w:rFonts w:ascii="Tahoma" w:hAnsi="Tahoma" w:cs="Tahoma"/>
          <w:kern w:val="0"/>
          <w:sz w:val="20"/>
          <w:szCs w:val="20"/>
          <w:u w:val="single"/>
        </w:rPr>
        <w:tab/>
        <w:t>6.750,40</w:t>
      </w:r>
    </w:p>
    <w:p w14:paraId="1B315303" w14:textId="77777777" w:rsidR="009E771B" w:rsidRPr="00CC00D4" w:rsidRDefault="009E771B" w:rsidP="002558B3">
      <w:pPr>
        <w:pStyle w:val="Standard"/>
        <w:spacing w:after="200" w:line="360" w:lineRule="auto"/>
        <w:jc w:val="both"/>
        <w:rPr>
          <w:rFonts w:ascii="Tahoma" w:hAnsi="Tahoma" w:cs="Tahoma"/>
          <w:kern w:val="0"/>
          <w:sz w:val="20"/>
          <w:szCs w:val="20"/>
        </w:rPr>
      </w:pPr>
    </w:p>
    <w:p w14:paraId="4E4A4D7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somme da versare con modello F24 da parte del committente saranno:</w:t>
      </w:r>
    </w:p>
    <w:p w14:paraId="138BA57B" w14:textId="77777777" w:rsidR="002558B3" w:rsidRPr="00CC00D4" w:rsidRDefault="002558B3">
      <w:pPr>
        <w:pStyle w:val="Paragrafoelenco"/>
        <w:numPr>
          <w:ilvl w:val="0"/>
          <w:numId w:val="197"/>
        </w:numPr>
        <w:autoSpaceDN w:val="0"/>
        <w:ind w:left="709" w:hanging="357"/>
        <w:contextualSpacing/>
        <w:textAlignment w:val="baseline"/>
        <w:rPr>
          <w:rFonts w:cs="Tahoma"/>
          <w:szCs w:val="20"/>
        </w:rPr>
      </w:pPr>
      <w:r w:rsidRPr="00CC00D4">
        <w:rPr>
          <w:rFonts w:cs="Tahoma"/>
          <w:szCs w:val="20"/>
        </w:rPr>
        <w:t>Sezione Erario, codice tributo 1040 euro 1.800,00 (ritenuta d’acconto);</w:t>
      </w:r>
    </w:p>
    <w:p w14:paraId="6F5816D4" w14:textId="77777777" w:rsidR="002558B3" w:rsidRPr="00CC00D4" w:rsidRDefault="002558B3">
      <w:pPr>
        <w:pStyle w:val="Paragrafoelenco"/>
        <w:numPr>
          <w:ilvl w:val="0"/>
          <w:numId w:val="197"/>
        </w:numPr>
        <w:autoSpaceDN w:val="0"/>
        <w:ind w:left="709"/>
        <w:textAlignment w:val="baseline"/>
        <w:rPr>
          <w:rFonts w:cs="Tahoma"/>
          <w:szCs w:val="20"/>
        </w:rPr>
      </w:pPr>
      <w:r w:rsidRPr="00CC00D4">
        <w:rPr>
          <w:rFonts w:cs="Tahoma"/>
          <w:szCs w:val="20"/>
        </w:rPr>
        <w:t>Sezione INPS, codice tributo “CXX” euro 449,60 per contributi c/lavoratore + 899,20 (equivalenti a 4.000 * 22,48%) per contributi c/committente.</w:t>
      </w:r>
    </w:p>
    <w:p w14:paraId="2170B73B" w14:textId="77777777" w:rsidR="002558B3" w:rsidRPr="00CC00D4" w:rsidRDefault="002558B3" w:rsidP="002558B3">
      <w:pPr>
        <w:pStyle w:val="Standard"/>
        <w:spacing w:after="200" w:line="360" w:lineRule="auto"/>
        <w:jc w:val="both"/>
        <w:rPr>
          <w:rFonts w:ascii="Tahoma" w:hAnsi="Tahoma" w:cs="Tahoma"/>
          <w:b/>
          <w:i/>
          <w:kern w:val="0"/>
          <w:sz w:val="20"/>
          <w:szCs w:val="20"/>
          <w:u w:val="single"/>
        </w:rPr>
      </w:pPr>
    </w:p>
    <w:p w14:paraId="7C3221C8" w14:textId="2969431A" w:rsidR="002558B3" w:rsidRPr="00CC00D4" w:rsidRDefault="009E771B" w:rsidP="00C74627">
      <w:pPr>
        <w:pStyle w:val="Titolo2"/>
      </w:pPr>
      <w:bookmarkStart w:id="339" w:name="__RefHeading__4558_1479815270"/>
      <w:bookmarkStart w:id="340" w:name="_Toc92386545"/>
      <w:r w:rsidRPr="00CC00D4">
        <w:br w:type="page"/>
      </w:r>
      <w:bookmarkStart w:id="341" w:name="_Toc124266316"/>
      <w:r w:rsidR="002558B3" w:rsidRPr="00CC00D4">
        <w:lastRenderedPageBreak/>
        <w:t>6.2 Lavoratore iscritto ad altre forme di previdenza obbligatorie</w:t>
      </w:r>
      <w:bookmarkEnd w:id="339"/>
      <w:bookmarkEnd w:id="340"/>
      <w:bookmarkEnd w:id="341"/>
    </w:p>
    <w:p w14:paraId="2A46DD3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Discorso diverso in caso di lavoratore autonomo occasionale iscritto ad altre forme di previdenza obbligatorie, nei cui confronti si applica un’aliquota INPS pari al 24%, di cui 1/3 (8%) a carico del lavoratore ed i 2/3 restanti (16%) a carico del committente.</w:t>
      </w:r>
    </w:p>
    <w:p w14:paraId="7BA1154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Compenso lordo</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9.000,00</w:t>
      </w:r>
    </w:p>
    <w:p w14:paraId="6DBAAC5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Imponibile previdenziale (9.000 – 5.000)</w:t>
      </w:r>
      <w:r w:rsidRPr="00CC00D4">
        <w:rPr>
          <w:rFonts w:ascii="Tahoma" w:hAnsi="Tahoma" w:cs="Tahoma"/>
          <w:kern w:val="0"/>
          <w:sz w:val="20"/>
          <w:szCs w:val="20"/>
        </w:rPr>
        <w:tab/>
        <w:t>4.000,00</w:t>
      </w:r>
    </w:p>
    <w:p w14:paraId="2D71AA1F" w14:textId="074D9535" w:rsidR="002558B3" w:rsidRPr="00CC00D4" w:rsidRDefault="002558B3" w:rsidP="002558B3">
      <w:pPr>
        <w:pStyle w:val="Standard"/>
        <w:spacing w:after="200" w:line="360" w:lineRule="auto"/>
        <w:jc w:val="both"/>
        <w:rPr>
          <w:rFonts w:ascii="Tahoma" w:hAnsi="Tahoma" w:cs="Tahoma"/>
          <w:kern w:val="0"/>
          <w:sz w:val="20"/>
          <w:szCs w:val="20"/>
        </w:rPr>
      </w:pPr>
      <w:commentRangeStart w:id="342"/>
      <w:r w:rsidRPr="00CC00D4">
        <w:rPr>
          <w:rFonts w:ascii="Tahoma" w:hAnsi="Tahoma" w:cs="Tahoma"/>
          <w:kern w:val="0"/>
          <w:sz w:val="20"/>
          <w:szCs w:val="20"/>
        </w:rPr>
        <w:t>Contributo INPS c/lavoratore (8%)</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 xml:space="preserve">   </w:t>
      </w:r>
      <w:r w:rsidR="003004C4" w:rsidRPr="00CC00D4">
        <w:rPr>
          <w:rFonts w:ascii="Tahoma" w:hAnsi="Tahoma" w:cs="Tahoma"/>
          <w:kern w:val="0"/>
          <w:sz w:val="20"/>
          <w:szCs w:val="20"/>
        </w:rPr>
        <w:tab/>
      </w:r>
      <w:r w:rsidRPr="00CC00D4">
        <w:rPr>
          <w:rFonts w:ascii="Tahoma" w:hAnsi="Tahoma" w:cs="Tahoma"/>
          <w:kern w:val="0"/>
          <w:sz w:val="20"/>
          <w:szCs w:val="20"/>
        </w:rPr>
        <w:t>320,00</w:t>
      </w:r>
      <w:commentRangeEnd w:id="342"/>
      <w:r w:rsidR="00C42B05" w:rsidRPr="00CC00D4">
        <w:rPr>
          <w:rStyle w:val="Rimandocommento"/>
          <w:rFonts w:ascii="Calibri" w:hAnsi="Calibri" w:cs="F"/>
          <w:color w:val="auto"/>
          <w:kern w:val="3"/>
          <w:lang w:eastAsia="it-IT" w:bidi="ar-SA"/>
        </w:rPr>
        <w:commentReference w:id="342"/>
      </w:r>
    </w:p>
    <w:p w14:paraId="7C98232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Imponibile fiscale</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9.000,00</w:t>
      </w:r>
      <w:r w:rsidRPr="00CC00D4">
        <w:rPr>
          <w:rFonts w:ascii="Tahoma" w:hAnsi="Tahoma" w:cs="Tahoma"/>
          <w:kern w:val="0"/>
          <w:sz w:val="20"/>
          <w:szCs w:val="20"/>
        </w:rPr>
        <w:tab/>
      </w:r>
    </w:p>
    <w:p w14:paraId="738887D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Ritenuta d’acconto (20%)</w:t>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r>
      <w:r w:rsidRPr="00CC00D4">
        <w:rPr>
          <w:rFonts w:ascii="Tahoma" w:hAnsi="Tahoma" w:cs="Tahoma"/>
          <w:kern w:val="0"/>
          <w:sz w:val="20"/>
          <w:szCs w:val="20"/>
        </w:rPr>
        <w:tab/>
        <w:t>1.800,00</w:t>
      </w:r>
    </w:p>
    <w:p w14:paraId="57D0682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u w:val="single"/>
        </w:rPr>
        <w:t>Netto (compenso lordo – ctr INPS – ritenuta acc.to)</w:t>
      </w:r>
      <w:r w:rsidRPr="00CC00D4">
        <w:rPr>
          <w:rFonts w:ascii="Tahoma" w:hAnsi="Tahoma" w:cs="Tahoma"/>
          <w:kern w:val="0"/>
          <w:sz w:val="20"/>
          <w:szCs w:val="20"/>
          <w:u w:val="single"/>
        </w:rPr>
        <w:tab/>
      </w:r>
      <w:r w:rsidRPr="00CC00D4">
        <w:rPr>
          <w:rFonts w:ascii="Tahoma" w:hAnsi="Tahoma" w:cs="Tahoma"/>
          <w:kern w:val="0"/>
          <w:sz w:val="20"/>
          <w:szCs w:val="20"/>
          <w:u w:val="single"/>
        </w:rPr>
        <w:tab/>
        <w:t>6.880,00</w:t>
      </w:r>
    </w:p>
    <w:p w14:paraId="71393FD1"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C521AF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somme da versare con modello F24 da parte del committente saranno:</w:t>
      </w:r>
    </w:p>
    <w:p w14:paraId="34E1D1F2" w14:textId="77777777" w:rsidR="002558B3" w:rsidRPr="00CC00D4" w:rsidRDefault="002558B3">
      <w:pPr>
        <w:pStyle w:val="Paragrafoelenco"/>
        <w:numPr>
          <w:ilvl w:val="0"/>
          <w:numId w:val="201"/>
        </w:numPr>
        <w:autoSpaceDN w:val="0"/>
        <w:ind w:left="709" w:hanging="357"/>
        <w:contextualSpacing/>
        <w:textAlignment w:val="baseline"/>
        <w:rPr>
          <w:rFonts w:cs="Tahoma"/>
          <w:szCs w:val="20"/>
        </w:rPr>
      </w:pPr>
      <w:r w:rsidRPr="00CC00D4">
        <w:rPr>
          <w:rFonts w:cs="Tahoma"/>
          <w:szCs w:val="20"/>
        </w:rPr>
        <w:t>Sezione Erario, codice tributo 1040 euro 1.800,00 (ritenuta d’acconto);</w:t>
      </w:r>
    </w:p>
    <w:p w14:paraId="564004AF" w14:textId="77777777" w:rsidR="002558B3" w:rsidRPr="00CC00D4" w:rsidRDefault="002558B3">
      <w:pPr>
        <w:pStyle w:val="Paragrafoelenco"/>
        <w:numPr>
          <w:ilvl w:val="0"/>
          <w:numId w:val="201"/>
        </w:numPr>
        <w:autoSpaceDN w:val="0"/>
        <w:ind w:left="709"/>
        <w:textAlignment w:val="baseline"/>
        <w:rPr>
          <w:rFonts w:cs="Tahoma"/>
          <w:szCs w:val="20"/>
        </w:rPr>
      </w:pPr>
      <w:r w:rsidRPr="00CC00D4">
        <w:rPr>
          <w:rFonts w:cs="Tahoma"/>
          <w:szCs w:val="20"/>
        </w:rPr>
        <w:t>Sezione INPS, codice tributo “C10” euro 320,00 per contributi c/lavoratore + 640,00 (equivalenti a 4.000 * 16%) per contributi c/committente.</w:t>
      </w:r>
    </w:p>
    <w:p w14:paraId="71008A42"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CC4FA44" w14:textId="77777777" w:rsidR="002558B3" w:rsidRPr="00CC00D4" w:rsidRDefault="002558B3" w:rsidP="002558B3">
      <w:pPr>
        <w:pStyle w:val="Standard"/>
        <w:spacing w:after="200" w:line="360" w:lineRule="auto"/>
        <w:jc w:val="both"/>
        <w:rPr>
          <w:rFonts w:ascii="Tahoma" w:hAnsi="Tahoma" w:cs="Tahoma"/>
          <w:kern w:val="0"/>
          <w:sz w:val="20"/>
          <w:szCs w:val="20"/>
        </w:rPr>
      </w:pPr>
    </w:p>
    <w:p w14:paraId="6BC1D8F1" w14:textId="77777777" w:rsidR="00380F17" w:rsidRPr="00CC00D4" w:rsidRDefault="00380F17" w:rsidP="00BA638F">
      <w:pPr>
        <w:pStyle w:val="Titolo1"/>
        <w:sectPr w:rsidR="00380F17" w:rsidRPr="00CC00D4">
          <w:pgSz w:w="11906" w:h="16838"/>
          <w:pgMar w:top="776" w:right="1134" w:bottom="777" w:left="1134" w:header="720" w:footer="720" w:gutter="0"/>
          <w:cols w:space="720"/>
          <w:titlePg/>
          <w:docGrid w:linePitch="272"/>
        </w:sectPr>
      </w:pPr>
      <w:bookmarkStart w:id="343" w:name="__RefHeading__4560_1479815270"/>
      <w:bookmarkStart w:id="344" w:name="_Toc92386546"/>
    </w:p>
    <w:p w14:paraId="06AC9861" w14:textId="77777777" w:rsidR="00380F17" w:rsidRPr="00CC00D4" w:rsidRDefault="002558B3" w:rsidP="00BA638F">
      <w:pPr>
        <w:pStyle w:val="Titolo1"/>
      </w:pPr>
      <w:bookmarkStart w:id="345" w:name="_Toc124266317"/>
      <w:r w:rsidRPr="00CC00D4">
        <w:lastRenderedPageBreak/>
        <w:t>7.</w:t>
      </w:r>
      <w:bookmarkEnd w:id="345"/>
    </w:p>
    <w:bookmarkStart w:id="346" w:name="_Toc124266318"/>
    <w:p w14:paraId="265E7A69" w14:textId="1F0041C3" w:rsidR="002558B3" w:rsidRPr="00CC00D4" w:rsidRDefault="00985370" w:rsidP="00BA638F">
      <w:pPr>
        <w:pStyle w:val="Titolo1"/>
      </w:pPr>
      <w:r w:rsidRPr="00CC00D4">
        <w:rPr>
          <w:noProof/>
          <w:sz w:val="20"/>
          <w:szCs w:val="20"/>
          <w:lang w:eastAsia="it-IT"/>
        </w:rPr>
        <mc:AlternateContent>
          <mc:Choice Requires="wps">
            <w:drawing>
              <wp:anchor distT="0" distB="0" distL="114300" distR="114300" simplePos="0" relativeHeight="251656192" behindDoc="0" locked="0" layoutInCell="1" allowOverlap="1" wp14:anchorId="11A73924" wp14:editId="5747C456">
                <wp:simplePos x="0" y="0"/>
                <wp:positionH relativeFrom="column">
                  <wp:posOffset>1835785</wp:posOffset>
                </wp:positionH>
                <wp:positionV relativeFrom="paragraph">
                  <wp:posOffset>80010</wp:posOffset>
                </wp:positionV>
                <wp:extent cx="2443480" cy="6350"/>
                <wp:effectExtent l="16510" t="13335" r="16510" b="18415"/>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29B14A" id="AutoShape 120" o:spid="_x0000_s1026" type="#_x0000_t32" style="position:absolute;margin-left:144.55pt;margin-top:6.3pt;width:192.4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" strokecolor="#404040" strokeweight=".53mm">
                <v:stroke joinstyle="miter" endcap="square"/>
              </v:shape>
            </w:pict>
          </mc:Fallback>
        </mc:AlternateContent>
      </w:r>
      <w:r w:rsidR="002558B3" w:rsidRPr="00CC00D4">
        <w:t>Dichiarazioni fiscali</w:t>
      </w:r>
      <w:bookmarkEnd w:id="343"/>
      <w:bookmarkEnd w:id="344"/>
      <w:bookmarkEnd w:id="346"/>
    </w:p>
    <w:p w14:paraId="118AD854" w14:textId="77777777" w:rsidR="002558B3" w:rsidRPr="00CC00D4" w:rsidRDefault="002558B3" w:rsidP="002558B3">
      <w:pPr>
        <w:pStyle w:val="Standard"/>
        <w:spacing w:after="200" w:line="360" w:lineRule="auto"/>
        <w:jc w:val="both"/>
        <w:rPr>
          <w:rFonts w:ascii="Tahoma" w:hAnsi="Tahoma" w:cs="Tahoma"/>
          <w:kern w:val="0"/>
          <w:sz w:val="20"/>
          <w:szCs w:val="20"/>
        </w:rPr>
      </w:pPr>
    </w:p>
    <w:p w14:paraId="1699BB40" w14:textId="77777777" w:rsidR="00380F17" w:rsidRPr="00CC00D4" w:rsidRDefault="00380F17" w:rsidP="00130676">
      <w:pPr>
        <w:pStyle w:val="Citazione"/>
      </w:pPr>
      <w:bookmarkStart w:id="347" w:name="__RefHeading__4562_1479815270"/>
      <w:bookmarkStart w:id="348" w:name="_Toc92386547"/>
    </w:p>
    <w:p w14:paraId="22B14A96" w14:textId="77777777" w:rsidR="00380F17" w:rsidRPr="00CC00D4" w:rsidRDefault="00380F17" w:rsidP="00130676">
      <w:pPr>
        <w:pStyle w:val="Citazione"/>
      </w:pPr>
    </w:p>
    <w:p w14:paraId="06872926" w14:textId="77777777" w:rsidR="00380F17" w:rsidRPr="00CC00D4" w:rsidRDefault="00380F17" w:rsidP="00130676">
      <w:pPr>
        <w:pStyle w:val="Citazione"/>
      </w:pPr>
    </w:p>
    <w:p w14:paraId="0A424351" w14:textId="77777777" w:rsidR="00380F17" w:rsidRPr="00CC00D4" w:rsidRDefault="00380F17" w:rsidP="00130676">
      <w:pPr>
        <w:pStyle w:val="Citazione"/>
      </w:pPr>
    </w:p>
    <w:p w14:paraId="2B1D29DB" w14:textId="77777777" w:rsidR="00380F17" w:rsidRPr="00CC00D4" w:rsidRDefault="00380F17" w:rsidP="00130676">
      <w:pPr>
        <w:pStyle w:val="Citazione"/>
      </w:pPr>
    </w:p>
    <w:p w14:paraId="18DB8F93" w14:textId="02A35EB7" w:rsidR="002558B3" w:rsidRPr="00CC00D4" w:rsidRDefault="002558B3" w:rsidP="00C74627">
      <w:pPr>
        <w:pStyle w:val="Titolo2"/>
      </w:pPr>
      <w:bookmarkStart w:id="349" w:name="_Toc124266319"/>
      <w:r w:rsidRPr="00CC00D4">
        <w:t>7.1 Certificazioni Uniche</w:t>
      </w:r>
      <w:bookmarkEnd w:id="347"/>
      <w:bookmarkEnd w:id="348"/>
      <w:bookmarkEnd w:id="349"/>
    </w:p>
    <w:p w14:paraId="3A1FCC2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sostituti d’imposta sono tenuti a certificare a mezzo invio telematico all’Agenzia Entrate, i redditi da lavoro dipendente, da lavoro autonomo o redditi diversi, riconosciuti ai sostituiti in un determinato periodo d’imposta.</w:t>
      </w:r>
    </w:p>
    <w:p w14:paraId="70E7AE2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ricompresi nell’obbligo anche i committenti che hanno operato, ai sensi dell’articolo 25 del Decreto del Presidente della Repubblica del 29 settembre 1973 numero 600, una ritenuta del 20% a titolo di acconto all’atto del pagamento di compensi per “</w:t>
      </w:r>
      <w:r w:rsidRPr="00CC00D4">
        <w:rPr>
          <w:rFonts w:ascii="Tahoma" w:hAnsi="Tahoma" w:cs="Tahoma"/>
          <w:i/>
          <w:kern w:val="0"/>
          <w:sz w:val="20"/>
          <w:szCs w:val="20"/>
        </w:rPr>
        <w:t>prestazioni di lavoro autonomo, ancorché non esercitate abitualmente</w:t>
      </w:r>
      <w:r w:rsidRPr="00CC00D4">
        <w:rPr>
          <w:rFonts w:ascii="Tahoma" w:hAnsi="Tahoma" w:cs="Tahoma"/>
          <w:kern w:val="0"/>
          <w:sz w:val="20"/>
          <w:szCs w:val="20"/>
        </w:rPr>
        <w:t>” regolate dall’articolo 2222 del Codice Civile.</w:t>
      </w:r>
    </w:p>
    <w:p w14:paraId="03114B5E" w14:textId="31C343BD"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Prendendo a riferimento le istruzioni ADE (disponibili sul portale “</w:t>
      </w:r>
      <w:r w:rsidRPr="00CC00D4">
        <w:rPr>
          <w:rFonts w:ascii="Tahoma" w:hAnsi="Tahoma" w:cs="Tahoma"/>
          <w:i/>
          <w:iCs/>
          <w:kern w:val="0"/>
          <w:sz w:val="20"/>
          <w:szCs w:val="20"/>
        </w:rPr>
        <w:t>agenziaentrate.gov.it</w:t>
      </w:r>
      <w:r w:rsidRPr="00CC00D4">
        <w:rPr>
          <w:rFonts w:ascii="Tahoma" w:hAnsi="Tahoma" w:cs="Tahoma"/>
          <w:kern w:val="0"/>
          <w:sz w:val="20"/>
          <w:szCs w:val="20"/>
        </w:rPr>
        <w:t xml:space="preserve"> – </w:t>
      </w:r>
      <w:r w:rsidRPr="00CC00D4">
        <w:rPr>
          <w:rFonts w:ascii="Tahoma" w:hAnsi="Tahoma" w:cs="Tahoma"/>
          <w:i/>
          <w:iCs/>
          <w:kern w:val="0"/>
          <w:sz w:val="20"/>
          <w:szCs w:val="20"/>
        </w:rPr>
        <w:t xml:space="preserve">Schede informative e servizi – Dichiarazioni – </w:t>
      </w:r>
      <w:hyperlink r:id="rId46" w:history="1">
        <w:r w:rsidR="009C11E3" w:rsidRPr="00CC00D4">
          <w:rPr>
            <w:rStyle w:val="Collegamentoipertestuale"/>
            <w:rFonts w:ascii="Tahoma" w:hAnsi="Tahoma" w:cs="Tahoma"/>
            <w:i/>
            <w:iCs/>
            <w:sz w:val="20"/>
            <w:szCs w:val="20"/>
          </w:rPr>
          <w:t>Certificazione unica 2022 - Modello e istruzioni</w:t>
        </w:r>
      </w:hyperlink>
      <w:r w:rsidRPr="00CC00D4">
        <w:rPr>
          <w:rFonts w:ascii="Tahoma" w:hAnsi="Tahoma" w:cs="Tahoma"/>
          <w:i/>
          <w:iCs/>
          <w:kern w:val="0"/>
          <w:sz w:val="20"/>
          <w:szCs w:val="20"/>
        </w:rPr>
        <w:t>”)</w:t>
      </w:r>
      <w:r w:rsidRPr="00CC00D4">
        <w:rPr>
          <w:rFonts w:ascii="Tahoma" w:hAnsi="Tahoma" w:cs="Tahoma"/>
          <w:kern w:val="0"/>
          <w:sz w:val="20"/>
          <w:szCs w:val="20"/>
        </w:rPr>
        <w:t xml:space="preserve"> è innanzitutto opportuno precisare che la CU si compone di due modelli:</w:t>
      </w:r>
    </w:p>
    <w:p w14:paraId="4984FAFD" w14:textId="77777777" w:rsidR="002558B3" w:rsidRPr="00CC00D4" w:rsidRDefault="002558B3">
      <w:pPr>
        <w:pStyle w:val="Paragrafoelenco"/>
        <w:numPr>
          <w:ilvl w:val="0"/>
          <w:numId w:val="164"/>
        </w:numPr>
        <w:autoSpaceDN w:val="0"/>
        <w:ind w:left="709" w:hanging="357"/>
        <w:contextualSpacing/>
        <w:textAlignment w:val="baseline"/>
        <w:rPr>
          <w:rFonts w:cs="Tahoma"/>
          <w:szCs w:val="20"/>
        </w:rPr>
      </w:pPr>
      <w:r w:rsidRPr="00CC00D4">
        <w:rPr>
          <w:rFonts w:cs="Tahoma"/>
          <w:szCs w:val="20"/>
        </w:rPr>
        <w:t>CU sintetica da rilasciare al soggetto percettore del reddito in formato elettronico o cartaceo entro il 16 marzo dell’anno successivo quello in cui il reddito è stato corrisposto;</w:t>
      </w:r>
    </w:p>
    <w:p w14:paraId="0D9D8B57" w14:textId="77777777" w:rsidR="002558B3" w:rsidRPr="00CC00D4" w:rsidRDefault="002558B3">
      <w:pPr>
        <w:pStyle w:val="Paragrafoelenco"/>
        <w:numPr>
          <w:ilvl w:val="0"/>
          <w:numId w:val="164"/>
        </w:numPr>
        <w:autoSpaceDN w:val="0"/>
        <w:ind w:left="709"/>
        <w:textAlignment w:val="baseline"/>
        <w:rPr>
          <w:rFonts w:cs="Tahoma"/>
          <w:szCs w:val="20"/>
        </w:rPr>
      </w:pPr>
      <w:r w:rsidRPr="00CC00D4">
        <w:rPr>
          <w:rFonts w:cs="Tahoma"/>
          <w:szCs w:val="20"/>
        </w:rPr>
        <w:t>CU ordinaria dove, oltre ai dati indicati nel modello sintetico, sono riportate tutte le informazioni necessarie per elaborare i modelli 730 precompilati nonché per effettuare accertamenti o riliquidazioni d’imposta, dev’essere trasmessa in via telematica all’AE entro il 16 marzo dell’anno successivo quello in cui i redditi sono erogati.</w:t>
      </w:r>
    </w:p>
    <w:p w14:paraId="6FF74166" w14:textId="77777777" w:rsidR="002558B3" w:rsidRPr="00CC00D4" w:rsidRDefault="002558B3" w:rsidP="002558B3">
      <w:pPr>
        <w:pStyle w:val="Standard"/>
        <w:spacing w:after="200" w:line="360" w:lineRule="auto"/>
        <w:jc w:val="both"/>
        <w:rPr>
          <w:rFonts w:ascii="Tahoma" w:hAnsi="Tahoma" w:cs="Tahoma"/>
          <w:kern w:val="0"/>
          <w:sz w:val="20"/>
          <w:szCs w:val="20"/>
        </w:rPr>
      </w:pPr>
    </w:p>
    <w:p w14:paraId="7B94DA1E"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p>
    <w:p w14:paraId="2086354F" w14:textId="77777777" w:rsidR="00E74A8D" w:rsidRPr="00CC00D4" w:rsidRDefault="00E74A8D">
      <w:pPr>
        <w:suppressAutoHyphens w:val="0"/>
        <w:spacing w:after="0" w:line="240" w:lineRule="auto"/>
        <w:jc w:val="left"/>
        <w:rPr>
          <w:rFonts w:cs="Tahoma"/>
          <w:bCs/>
          <w:i/>
          <w:color w:val="000000"/>
          <w:sz w:val="22"/>
          <w:u w:val="single"/>
        </w:rPr>
      </w:pPr>
      <w:bookmarkStart w:id="350" w:name="__RefHeading__4564_1479815270"/>
      <w:bookmarkStart w:id="351" w:name="_Toc92386548"/>
      <w:r w:rsidRPr="00CC00D4">
        <w:br w:type="page"/>
      </w:r>
    </w:p>
    <w:p w14:paraId="188098AD" w14:textId="7A50395A" w:rsidR="002558B3" w:rsidRPr="00CC00D4" w:rsidRDefault="002558B3" w:rsidP="00C74627">
      <w:pPr>
        <w:pStyle w:val="Titolo3"/>
      </w:pPr>
      <w:bookmarkStart w:id="352" w:name="_Toc124266320"/>
      <w:r w:rsidRPr="00CC00D4">
        <w:lastRenderedPageBreak/>
        <w:t>7.1.1 Termine</w:t>
      </w:r>
      <w:bookmarkEnd w:id="350"/>
      <w:bookmarkEnd w:id="351"/>
      <w:bookmarkEnd w:id="352"/>
    </w:p>
    <w:p w14:paraId="186DEE5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Come anticipato, i termini per l’invio dei modelli CU sintetico ed ordinario sono fissati al 16 marzo dell’anno successivo quello in cui i redditi sono stati erogati.</w:t>
      </w:r>
    </w:p>
    <w:p w14:paraId="4C5DD3C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Se la scadenza cade di sabato o in un giorno festivo, la stessa è prorogata al primo giorno feriale successivo.</w:t>
      </w:r>
    </w:p>
    <w:p w14:paraId="469348E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Un caso particolare riguarda le CU (istruzioni ADE) contenenti “</w:t>
      </w:r>
      <w:r w:rsidRPr="00CC00D4">
        <w:rPr>
          <w:rFonts w:ascii="Tahoma" w:hAnsi="Tahoma" w:cs="Tahoma"/>
          <w:i/>
          <w:iCs/>
          <w:kern w:val="0"/>
          <w:sz w:val="20"/>
          <w:szCs w:val="20"/>
        </w:rPr>
        <w:t>esclusivamente redditi esenti o non dichiarabili mediante la dichiarazione dei redditi precompilata</w:t>
      </w:r>
      <w:r w:rsidRPr="00CC00D4">
        <w:rPr>
          <w:rFonts w:ascii="Tahoma" w:hAnsi="Tahoma" w:cs="Tahoma"/>
          <w:kern w:val="0"/>
          <w:sz w:val="20"/>
          <w:szCs w:val="20"/>
        </w:rPr>
        <w:t>” il cui termine per l’invio coincide con quello del modello 770 (31 ottobre). Tale casistica comprende ad esempio:</w:t>
      </w:r>
    </w:p>
    <w:p w14:paraId="1B6068D6" w14:textId="77777777" w:rsidR="002558B3" w:rsidRPr="00CC00D4" w:rsidRDefault="002558B3">
      <w:pPr>
        <w:pStyle w:val="Paragrafoelenco"/>
        <w:numPr>
          <w:ilvl w:val="0"/>
          <w:numId w:val="163"/>
        </w:numPr>
        <w:autoSpaceDN w:val="0"/>
        <w:ind w:left="709" w:hanging="357"/>
        <w:contextualSpacing/>
        <w:textAlignment w:val="baseline"/>
        <w:rPr>
          <w:rFonts w:cs="Tahoma"/>
          <w:szCs w:val="20"/>
        </w:rPr>
      </w:pPr>
      <w:r w:rsidRPr="00CC00D4">
        <w:rPr>
          <w:rFonts w:cs="Tahoma"/>
          <w:szCs w:val="20"/>
        </w:rPr>
        <w:t>Reddito di lavoro autonomo professionale;</w:t>
      </w:r>
    </w:p>
    <w:p w14:paraId="5CA2A5F1" w14:textId="77777777" w:rsidR="002558B3" w:rsidRPr="00CC00D4" w:rsidRDefault="002558B3">
      <w:pPr>
        <w:pStyle w:val="Paragrafoelenco"/>
        <w:numPr>
          <w:ilvl w:val="0"/>
          <w:numId w:val="163"/>
        </w:numPr>
        <w:autoSpaceDN w:val="0"/>
        <w:ind w:left="709" w:hanging="357"/>
        <w:contextualSpacing/>
        <w:textAlignment w:val="baseline"/>
        <w:rPr>
          <w:rFonts w:cs="Tahoma"/>
          <w:szCs w:val="20"/>
        </w:rPr>
      </w:pPr>
      <w:r w:rsidRPr="00CC00D4">
        <w:rPr>
          <w:rFonts w:cs="Tahoma"/>
          <w:szCs w:val="20"/>
        </w:rPr>
        <w:t>Provvigioni;</w:t>
      </w:r>
    </w:p>
    <w:p w14:paraId="66C50456" w14:textId="77777777" w:rsidR="002558B3" w:rsidRPr="00CC00D4" w:rsidRDefault="002558B3">
      <w:pPr>
        <w:pStyle w:val="Paragrafoelenco"/>
        <w:numPr>
          <w:ilvl w:val="0"/>
          <w:numId w:val="163"/>
        </w:numPr>
        <w:autoSpaceDN w:val="0"/>
        <w:ind w:left="709" w:hanging="357"/>
        <w:contextualSpacing/>
        <w:textAlignment w:val="baseline"/>
        <w:rPr>
          <w:rFonts w:cs="Tahoma"/>
          <w:szCs w:val="20"/>
        </w:rPr>
      </w:pPr>
      <w:r w:rsidRPr="00CC00D4">
        <w:rPr>
          <w:rFonts w:cs="Tahoma"/>
          <w:szCs w:val="20"/>
        </w:rPr>
        <w:t>Corrispettivi dovuti dal condominio per prestazioni relative a contratti di appalto);</w:t>
      </w:r>
    </w:p>
    <w:p w14:paraId="2F4445C3" w14:textId="77777777" w:rsidR="002558B3" w:rsidRPr="00CC00D4" w:rsidRDefault="002558B3">
      <w:pPr>
        <w:pStyle w:val="Paragrafoelenco"/>
        <w:numPr>
          <w:ilvl w:val="0"/>
          <w:numId w:val="163"/>
        </w:numPr>
        <w:autoSpaceDN w:val="0"/>
        <w:ind w:left="709"/>
        <w:textAlignment w:val="baseline"/>
        <w:rPr>
          <w:rFonts w:cs="Tahoma"/>
          <w:szCs w:val="20"/>
        </w:rPr>
      </w:pPr>
      <w:r w:rsidRPr="00CC00D4">
        <w:rPr>
          <w:rFonts w:cs="Tahoma"/>
          <w:szCs w:val="20"/>
        </w:rPr>
        <w:t>Redditi esenti.</w:t>
      </w:r>
    </w:p>
    <w:p w14:paraId="6935209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caso di errori nell’invio della CU, il sostituto d’imposta può effettuare le dovute correzioni e rinviare le Certificazioni entro i cinque giorni successivi alla scadenza, senza alcuna sanzione.</w:t>
      </w:r>
    </w:p>
    <w:p w14:paraId="3630C130" w14:textId="77777777" w:rsidR="002558B3" w:rsidRPr="00CC00D4" w:rsidRDefault="002558B3" w:rsidP="002558B3">
      <w:pPr>
        <w:pStyle w:val="Standard"/>
        <w:spacing w:after="200" w:line="360" w:lineRule="auto"/>
        <w:jc w:val="both"/>
        <w:rPr>
          <w:rFonts w:ascii="Tahoma" w:hAnsi="Tahoma" w:cs="Tahoma"/>
          <w:kern w:val="0"/>
          <w:sz w:val="20"/>
          <w:szCs w:val="20"/>
        </w:rPr>
      </w:pPr>
    </w:p>
    <w:p w14:paraId="077010FA" w14:textId="5AF48E84" w:rsidR="002558B3" w:rsidRPr="00CC00D4" w:rsidRDefault="002558B3" w:rsidP="00C74627">
      <w:pPr>
        <w:pStyle w:val="Titolo3"/>
      </w:pPr>
      <w:bookmarkStart w:id="353" w:name="__RefHeading__4566_1479815270"/>
      <w:bookmarkStart w:id="354" w:name="_Toc92386549"/>
      <w:bookmarkStart w:id="355" w:name="_Toc124266321"/>
      <w:r w:rsidRPr="00CC00D4">
        <w:t>7.1.2 Invio</w:t>
      </w:r>
      <w:bookmarkEnd w:id="353"/>
      <w:bookmarkEnd w:id="354"/>
      <w:bookmarkEnd w:id="355"/>
    </w:p>
    <w:p w14:paraId="714805A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trasmissione delle Certificazioni avviene esclusivamente in modalità telematica:</w:t>
      </w:r>
    </w:p>
    <w:p w14:paraId="730EF39F" w14:textId="77777777" w:rsidR="002558B3" w:rsidRPr="00CC00D4" w:rsidRDefault="002558B3">
      <w:pPr>
        <w:pStyle w:val="Paragrafoelenco"/>
        <w:numPr>
          <w:ilvl w:val="0"/>
          <w:numId w:val="162"/>
        </w:numPr>
        <w:autoSpaceDN w:val="0"/>
        <w:ind w:left="709" w:hanging="357"/>
        <w:contextualSpacing/>
        <w:textAlignment w:val="baseline"/>
        <w:rPr>
          <w:rFonts w:cs="Tahoma"/>
          <w:szCs w:val="20"/>
        </w:rPr>
      </w:pPr>
      <w:r w:rsidRPr="00CC00D4">
        <w:rPr>
          <w:rFonts w:cs="Tahoma"/>
          <w:szCs w:val="20"/>
        </w:rPr>
        <w:t>Ad opera del soggetto tenuto ad effettuare la comunicazione;</w:t>
      </w:r>
    </w:p>
    <w:p w14:paraId="1FA50E14" w14:textId="77777777" w:rsidR="002558B3" w:rsidRPr="00CC00D4" w:rsidRDefault="002558B3">
      <w:pPr>
        <w:pStyle w:val="Paragrafoelenco"/>
        <w:numPr>
          <w:ilvl w:val="0"/>
          <w:numId w:val="162"/>
        </w:numPr>
        <w:autoSpaceDN w:val="0"/>
        <w:ind w:left="709"/>
        <w:textAlignment w:val="baseline"/>
        <w:rPr>
          <w:rFonts w:cs="Tahoma"/>
          <w:szCs w:val="20"/>
        </w:rPr>
      </w:pPr>
      <w:r w:rsidRPr="00CC00D4">
        <w:rPr>
          <w:rFonts w:cs="Tahoma"/>
          <w:szCs w:val="20"/>
        </w:rPr>
        <w:t>Tramite un intermediario abilitato.</w:t>
      </w:r>
    </w:p>
    <w:p w14:paraId="1A19DDB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Ai fini dell’invio fa fede il “</w:t>
      </w:r>
      <w:r w:rsidRPr="00CC00D4">
        <w:rPr>
          <w:rFonts w:ascii="Tahoma" w:hAnsi="Tahoma" w:cs="Tahoma"/>
          <w:i/>
          <w:iCs/>
          <w:kern w:val="0"/>
          <w:sz w:val="20"/>
          <w:szCs w:val="20"/>
        </w:rPr>
        <w:t>giorno in cui è conclusa la ricezione dei dati da parte dell’Agenzia delle Entrate</w:t>
      </w:r>
      <w:r w:rsidRPr="00CC00D4">
        <w:rPr>
          <w:rFonts w:ascii="Tahoma" w:hAnsi="Tahoma" w:cs="Tahoma"/>
          <w:kern w:val="0"/>
          <w:sz w:val="20"/>
          <w:szCs w:val="20"/>
        </w:rPr>
        <w:t>”.</w:t>
      </w:r>
    </w:p>
    <w:p w14:paraId="6D5BCE7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In particolare, il servizio di invio restituisce immediatamente un messaggio che conferma l’avvenuta ricezione del file e, in un secondo momento, un ulteriore documento attestante l’esito dell’elaborazione. Soltanto quest’ultimo vale come prova dell’avvenuta presentazione delle CU.  </w:t>
      </w:r>
    </w:p>
    <w:p w14:paraId="760D4170"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E122276" w14:textId="77777777" w:rsidR="00E74A8D" w:rsidRPr="00CC00D4" w:rsidRDefault="00E74A8D">
      <w:pPr>
        <w:suppressAutoHyphens w:val="0"/>
        <w:spacing w:after="0" w:line="240" w:lineRule="auto"/>
        <w:jc w:val="left"/>
        <w:rPr>
          <w:rFonts w:cs="Tahoma"/>
          <w:bCs/>
          <w:i/>
          <w:color w:val="000000"/>
          <w:sz w:val="22"/>
          <w:u w:val="single"/>
        </w:rPr>
      </w:pPr>
      <w:bookmarkStart w:id="356" w:name="__RefHeading__4568_1479815270"/>
      <w:bookmarkStart w:id="357" w:name="_Toc92386550"/>
      <w:r w:rsidRPr="00CC00D4">
        <w:br w:type="page"/>
      </w:r>
    </w:p>
    <w:p w14:paraId="75945028" w14:textId="7BA5D29D" w:rsidR="002558B3" w:rsidRPr="00CC00D4" w:rsidRDefault="002558B3" w:rsidP="00C74627">
      <w:pPr>
        <w:pStyle w:val="Titolo3"/>
        <w:rPr>
          <w:u w:val="none"/>
        </w:rPr>
      </w:pPr>
      <w:bookmarkStart w:id="358" w:name="_Toc124266322"/>
      <w:r w:rsidRPr="00CC00D4">
        <w:lastRenderedPageBreak/>
        <w:t>7.1.3 Soggetti obbligati</w:t>
      </w:r>
      <w:bookmarkEnd w:id="356"/>
      <w:bookmarkEnd w:id="357"/>
      <w:bookmarkEnd w:id="358"/>
    </w:p>
    <w:p w14:paraId="43ECCC8B" w14:textId="7050839E"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tenuti all’invio telematico delle CU coloro che nel periodo di competenza del modello hanno:</w:t>
      </w:r>
    </w:p>
    <w:p w14:paraId="6E6FC803" w14:textId="77777777" w:rsidR="002558B3" w:rsidRPr="00CC00D4" w:rsidRDefault="002558B3">
      <w:pPr>
        <w:pStyle w:val="Paragrafoelenco"/>
        <w:numPr>
          <w:ilvl w:val="0"/>
          <w:numId w:val="189"/>
        </w:numPr>
        <w:autoSpaceDN w:val="0"/>
        <w:ind w:left="709" w:hanging="357"/>
        <w:contextualSpacing/>
        <w:textAlignment w:val="baseline"/>
        <w:rPr>
          <w:rFonts w:cs="Tahoma"/>
          <w:szCs w:val="20"/>
        </w:rPr>
      </w:pPr>
      <w:r w:rsidRPr="00CC00D4">
        <w:rPr>
          <w:rFonts w:cs="Tahoma"/>
          <w:szCs w:val="20"/>
        </w:rPr>
        <w:t>Corrisposto “</w:t>
      </w:r>
      <w:r w:rsidRPr="00CC00D4">
        <w:rPr>
          <w:rFonts w:cs="Tahoma"/>
          <w:i/>
          <w:iCs/>
          <w:szCs w:val="20"/>
        </w:rPr>
        <w:t>somme o valori soggetti a ritenuta alla fonte, ai sensi degli artt. 23, 24, 25, 25-bis, 25-ter, 25-quater e 29 del D.P.R. n. 600 del 1973, dell’art. 33 comma 4, del D.P.R. n. 42 del 1988, dell’art. 21, comma 15, della L. 27 dicembre 1997, n. 449 e dell’art. 11, della L. 30 dicembre 1991, n. 413</w:t>
      </w:r>
      <w:r w:rsidRPr="00CC00D4">
        <w:rPr>
          <w:rFonts w:cs="Tahoma"/>
          <w:szCs w:val="20"/>
        </w:rPr>
        <w:t>”;</w:t>
      </w:r>
    </w:p>
    <w:p w14:paraId="5158FAEC" w14:textId="77777777" w:rsidR="002558B3" w:rsidRPr="00CC00D4" w:rsidRDefault="002558B3">
      <w:pPr>
        <w:pStyle w:val="Paragrafoelenco"/>
        <w:numPr>
          <w:ilvl w:val="0"/>
          <w:numId w:val="189"/>
        </w:numPr>
        <w:autoSpaceDN w:val="0"/>
        <w:ind w:left="709" w:hanging="357"/>
        <w:contextualSpacing/>
        <w:textAlignment w:val="baseline"/>
        <w:rPr>
          <w:rFonts w:cs="Tahoma"/>
          <w:szCs w:val="20"/>
        </w:rPr>
      </w:pPr>
      <w:r w:rsidRPr="00CC00D4">
        <w:rPr>
          <w:rFonts w:cs="Tahoma"/>
          <w:szCs w:val="20"/>
        </w:rPr>
        <w:t>Corrisposto contributi previdenziali ed assistenziali, nonché premi assicurativi INAIL;</w:t>
      </w:r>
    </w:p>
    <w:p w14:paraId="5D9F15DC" w14:textId="77777777" w:rsidR="002558B3" w:rsidRPr="00CC00D4" w:rsidRDefault="002558B3">
      <w:pPr>
        <w:pStyle w:val="Paragrafoelenco"/>
        <w:numPr>
          <w:ilvl w:val="0"/>
          <w:numId w:val="189"/>
        </w:numPr>
        <w:autoSpaceDN w:val="0"/>
        <w:ind w:left="709"/>
        <w:textAlignment w:val="baseline"/>
        <w:rPr>
          <w:rFonts w:cs="Tahoma"/>
          <w:szCs w:val="20"/>
        </w:rPr>
      </w:pPr>
      <w:r w:rsidRPr="00CC00D4">
        <w:rPr>
          <w:rFonts w:cs="Tahoma"/>
          <w:szCs w:val="20"/>
        </w:rPr>
        <w:t>Corrisposto somme e valori per i quali non è prevista alcuna ritenuta alla fonte ma la sola contribuzione INPS (è il caso delle aziende straniere che occupano lavoratori italiani all’estero assicurati in Italia).</w:t>
      </w:r>
    </w:p>
    <w:p w14:paraId="3B1688DE" w14:textId="77777777" w:rsidR="002558B3" w:rsidRPr="00CC00D4" w:rsidRDefault="002558B3" w:rsidP="002558B3">
      <w:pPr>
        <w:pStyle w:val="Standard"/>
        <w:spacing w:after="200" w:line="360" w:lineRule="auto"/>
        <w:jc w:val="both"/>
        <w:rPr>
          <w:rFonts w:ascii="Tahoma" w:hAnsi="Tahoma" w:cs="Tahoma"/>
          <w:i/>
          <w:iCs/>
          <w:kern w:val="0"/>
          <w:sz w:val="20"/>
          <w:szCs w:val="20"/>
        </w:rPr>
      </w:pPr>
    </w:p>
    <w:p w14:paraId="6A8D6E5C" w14:textId="3AD6F6C5" w:rsidR="002558B3" w:rsidRPr="00CC00D4" w:rsidRDefault="002558B3" w:rsidP="00C74627">
      <w:pPr>
        <w:pStyle w:val="Titolo3"/>
        <w:rPr>
          <w:u w:val="none"/>
        </w:rPr>
      </w:pPr>
      <w:bookmarkStart w:id="359" w:name="__RefHeading__4570_1479815270"/>
      <w:bookmarkStart w:id="360" w:name="_Toc92386551"/>
      <w:bookmarkStart w:id="361" w:name="_Toc124266323"/>
      <w:r w:rsidRPr="00CC00D4">
        <w:t>7.1.4 Composizione</w:t>
      </w:r>
      <w:bookmarkEnd w:id="359"/>
      <w:bookmarkEnd w:id="360"/>
      <w:bookmarkEnd w:id="361"/>
    </w:p>
    <w:p w14:paraId="4ECFA4B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Le macro-sezioni che compongono il flusso telematico CU sono:</w:t>
      </w:r>
    </w:p>
    <w:p w14:paraId="0EEF3D3A" w14:textId="77777777" w:rsidR="002558B3" w:rsidRPr="00CC00D4" w:rsidRDefault="002558B3">
      <w:pPr>
        <w:pStyle w:val="Paragrafoelenco"/>
        <w:numPr>
          <w:ilvl w:val="0"/>
          <w:numId w:val="191"/>
        </w:numPr>
        <w:autoSpaceDN w:val="0"/>
        <w:ind w:left="709" w:hanging="357"/>
        <w:contextualSpacing/>
        <w:textAlignment w:val="baseline"/>
        <w:rPr>
          <w:rFonts w:cs="Tahoma"/>
          <w:szCs w:val="20"/>
        </w:rPr>
      </w:pPr>
      <w:r w:rsidRPr="00CC00D4">
        <w:rPr>
          <w:rFonts w:cs="Tahoma"/>
          <w:szCs w:val="20"/>
        </w:rPr>
        <w:t>Frontespizio;</w:t>
      </w:r>
    </w:p>
    <w:p w14:paraId="0B0CA2C1" w14:textId="77777777" w:rsidR="002558B3" w:rsidRPr="00CC00D4" w:rsidRDefault="002558B3">
      <w:pPr>
        <w:pStyle w:val="Paragrafoelenco"/>
        <w:numPr>
          <w:ilvl w:val="0"/>
          <w:numId w:val="191"/>
        </w:numPr>
        <w:autoSpaceDN w:val="0"/>
        <w:ind w:left="709" w:hanging="357"/>
        <w:contextualSpacing/>
        <w:textAlignment w:val="baseline"/>
        <w:rPr>
          <w:rFonts w:cs="Tahoma"/>
          <w:szCs w:val="20"/>
        </w:rPr>
      </w:pPr>
      <w:r w:rsidRPr="00CC00D4">
        <w:rPr>
          <w:rFonts w:cs="Tahoma"/>
          <w:szCs w:val="20"/>
        </w:rPr>
        <w:t>Quadro CT;</w:t>
      </w:r>
    </w:p>
    <w:p w14:paraId="7ECC80EE" w14:textId="77777777" w:rsidR="002558B3" w:rsidRPr="00CC00D4" w:rsidRDefault="002558B3">
      <w:pPr>
        <w:pStyle w:val="Paragrafoelenco"/>
        <w:numPr>
          <w:ilvl w:val="0"/>
          <w:numId w:val="191"/>
        </w:numPr>
        <w:autoSpaceDN w:val="0"/>
        <w:ind w:left="709"/>
        <w:textAlignment w:val="baseline"/>
        <w:rPr>
          <w:rFonts w:cs="Tahoma"/>
          <w:szCs w:val="20"/>
        </w:rPr>
      </w:pPr>
      <w:r w:rsidRPr="00CC00D4">
        <w:rPr>
          <w:rFonts w:cs="Tahoma"/>
          <w:szCs w:val="20"/>
        </w:rPr>
        <w:t>Certificazione unica.</w:t>
      </w:r>
    </w:p>
    <w:p w14:paraId="067B1ADB"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BC208B8" w14:textId="65FF1FB2" w:rsidR="002558B3" w:rsidRPr="00CC00D4" w:rsidRDefault="002558B3" w:rsidP="00C74627">
      <w:pPr>
        <w:pStyle w:val="Titolo3"/>
        <w:rPr>
          <w:u w:val="none"/>
        </w:rPr>
      </w:pPr>
      <w:bookmarkStart w:id="362" w:name="__RefHeading__4572_1479815270"/>
      <w:bookmarkStart w:id="363" w:name="_Toc92386552"/>
      <w:bookmarkStart w:id="364" w:name="_Toc124266324"/>
      <w:r w:rsidRPr="00CC00D4">
        <w:t>7.1.5 Frontespizio</w:t>
      </w:r>
      <w:bookmarkEnd w:id="362"/>
      <w:bookmarkEnd w:id="363"/>
      <w:bookmarkEnd w:id="364"/>
    </w:p>
    <w:p w14:paraId="1DD5476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frontespizio si compone di:</w:t>
      </w:r>
    </w:p>
    <w:p w14:paraId="1A21C624" w14:textId="77777777" w:rsidR="002558B3" w:rsidRPr="00CC00D4" w:rsidRDefault="002558B3">
      <w:pPr>
        <w:pStyle w:val="Paragrafoelenco"/>
        <w:numPr>
          <w:ilvl w:val="0"/>
          <w:numId w:val="192"/>
        </w:numPr>
        <w:autoSpaceDN w:val="0"/>
        <w:ind w:left="709" w:hanging="357"/>
        <w:contextualSpacing/>
        <w:textAlignment w:val="baseline"/>
        <w:rPr>
          <w:rFonts w:cs="Tahoma"/>
          <w:szCs w:val="20"/>
        </w:rPr>
      </w:pPr>
      <w:r w:rsidRPr="00CC00D4">
        <w:rPr>
          <w:rFonts w:cs="Tahoma"/>
          <w:szCs w:val="20"/>
        </w:rPr>
        <w:t>Tipi di comunicazione, in cui indicare l’annullamento / sostituzione del modello ovvero il codice relativo agli eventi eccezionali;</w:t>
      </w:r>
    </w:p>
    <w:p w14:paraId="1CBB06A2" w14:textId="77777777" w:rsidR="002558B3" w:rsidRPr="00CC00D4" w:rsidRDefault="002558B3">
      <w:pPr>
        <w:pStyle w:val="Paragrafoelenco"/>
        <w:numPr>
          <w:ilvl w:val="0"/>
          <w:numId w:val="192"/>
        </w:numPr>
        <w:autoSpaceDN w:val="0"/>
        <w:ind w:left="709" w:hanging="357"/>
        <w:contextualSpacing/>
        <w:textAlignment w:val="baseline"/>
        <w:rPr>
          <w:rFonts w:cs="Tahoma"/>
          <w:szCs w:val="20"/>
        </w:rPr>
      </w:pPr>
      <w:r w:rsidRPr="00CC00D4">
        <w:rPr>
          <w:rFonts w:cs="Tahoma"/>
          <w:szCs w:val="20"/>
        </w:rPr>
        <w:t>Dati relativi al sostituto;</w:t>
      </w:r>
    </w:p>
    <w:p w14:paraId="4DFA2721" w14:textId="77777777" w:rsidR="002558B3" w:rsidRPr="00CC00D4" w:rsidRDefault="002558B3">
      <w:pPr>
        <w:pStyle w:val="Paragrafoelenco"/>
        <w:numPr>
          <w:ilvl w:val="0"/>
          <w:numId w:val="192"/>
        </w:numPr>
        <w:autoSpaceDN w:val="0"/>
        <w:ind w:left="709" w:hanging="357"/>
        <w:contextualSpacing/>
        <w:textAlignment w:val="baseline"/>
        <w:rPr>
          <w:rFonts w:cs="Tahoma"/>
          <w:szCs w:val="20"/>
        </w:rPr>
      </w:pPr>
      <w:r w:rsidRPr="00CC00D4">
        <w:rPr>
          <w:rFonts w:cs="Tahoma"/>
          <w:szCs w:val="20"/>
        </w:rPr>
        <w:t>Dati riguardanti il rappresentante firmatario della comunicazione;</w:t>
      </w:r>
    </w:p>
    <w:p w14:paraId="10BBF243" w14:textId="77777777" w:rsidR="002558B3" w:rsidRPr="00CC00D4" w:rsidRDefault="002558B3">
      <w:pPr>
        <w:pStyle w:val="Paragrafoelenco"/>
        <w:numPr>
          <w:ilvl w:val="0"/>
          <w:numId w:val="192"/>
        </w:numPr>
        <w:autoSpaceDN w:val="0"/>
        <w:ind w:left="709" w:hanging="357"/>
        <w:contextualSpacing/>
        <w:textAlignment w:val="baseline"/>
        <w:rPr>
          <w:rFonts w:cs="Tahoma"/>
          <w:szCs w:val="20"/>
        </w:rPr>
      </w:pPr>
      <w:r w:rsidRPr="00CC00D4">
        <w:rPr>
          <w:rFonts w:cs="Tahoma"/>
          <w:szCs w:val="20"/>
        </w:rPr>
        <w:t>Firma della comunicazione;</w:t>
      </w:r>
    </w:p>
    <w:p w14:paraId="15499C94" w14:textId="77777777" w:rsidR="002558B3" w:rsidRPr="00CC00D4" w:rsidRDefault="002558B3">
      <w:pPr>
        <w:pStyle w:val="Paragrafoelenco"/>
        <w:numPr>
          <w:ilvl w:val="0"/>
          <w:numId w:val="192"/>
        </w:numPr>
        <w:autoSpaceDN w:val="0"/>
        <w:ind w:left="709"/>
        <w:textAlignment w:val="baseline"/>
        <w:rPr>
          <w:rFonts w:cs="Tahoma"/>
          <w:szCs w:val="20"/>
        </w:rPr>
      </w:pPr>
      <w:r w:rsidRPr="00CC00D4">
        <w:rPr>
          <w:rFonts w:cs="Tahoma"/>
          <w:szCs w:val="20"/>
        </w:rPr>
        <w:t>Impegno alla presentazione telematica.</w:t>
      </w:r>
    </w:p>
    <w:p w14:paraId="4408A1FF" w14:textId="77777777" w:rsidR="00380F17" w:rsidRPr="00CC00D4" w:rsidRDefault="00380F17" w:rsidP="00130676">
      <w:pPr>
        <w:pStyle w:val="Citazione"/>
      </w:pPr>
      <w:bookmarkStart w:id="365" w:name="__RefHeading__4574_1479815270"/>
      <w:bookmarkStart w:id="366" w:name="_Toc92386553"/>
    </w:p>
    <w:p w14:paraId="1A3B9160" w14:textId="094E11C7" w:rsidR="002558B3" w:rsidRPr="00CC00D4" w:rsidRDefault="002558B3" w:rsidP="00C74627">
      <w:pPr>
        <w:pStyle w:val="Titolo3"/>
      </w:pPr>
      <w:bookmarkStart w:id="367" w:name="_Toc124266325"/>
      <w:r w:rsidRPr="00CC00D4">
        <w:t>7.1.6 Quadro CT</w:t>
      </w:r>
      <w:bookmarkEnd w:id="365"/>
      <w:bookmarkEnd w:id="366"/>
      <w:bookmarkEnd w:id="367"/>
    </w:p>
    <w:p w14:paraId="4092DF2D" w14:textId="13511C9D" w:rsidR="00E74A8D" w:rsidRPr="00CC00D4" w:rsidRDefault="002558B3" w:rsidP="00E74A8D">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quadro CT ha lo scopo di comunicare all’Agenzia entrate i dati per la ricezione in via telematica dei modelli 730-4, necessari per il trattamento in busta paga delle risultanze delle Dichiarazioni dei redditi.</w:t>
      </w:r>
      <w:bookmarkStart w:id="368" w:name="__RefHeading__4576_1479815270"/>
      <w:bookmarkStart w:id="369" w:name="_Toc92386554"/>
    </w:p>
    <w:p w14:paraId="5EEC999A" w14:textId="4A4D42FF" w:rsidR="002558B3" w:rsidRPr="00CC00D4" w:rsidRDefault="002558B3" w:rsidP="00C74627">
      <w:pPr>
        <w:pStyle w:val="Titolo3"/>
      </w:pPr>
      <w:bookmarkStart w:id="370" w:name="_Toc124266326"/>
      <w:r w:rsidRPr="00CC00D4">
        <w:lastRenderedPageBreak/>
        <w:t>7.1.7 Certificazione unica</w:t>
      </w:r>
      <w:bookmarkEnd w:id="368"/>
      <w:bookmarkEnd w:id="369"/>
      <w:bookmarkEnd w:id="370"/>
    </w:p>
    <w:p w14:paraId="35CD845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All’interno della sezione “Certificazione Unica”, vengono esposti i dati fiscali e previdenziali distinti tra redditi da lavoro dipendente e assimilati (è il caso dei co.co.co.) e redditi da lavoro autonomo, provvigioni e redditi diversi (lavoratori autonomi occasionali). Sotto questo aspetto, l’invio telematico all’Agenzia entrate può avvenire anche separatamente: è il caso del professionista A che trasmette i flussi contenenti le Certificazioni per i lavoratori dipendenti e assimilati e del professionista B che si occupa invece dei lavoratori autonomi occasionali.</w:t>
      </w:r>
    </w:p>
    <w:p w14:paraId="285B87FA"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A7C5165" w14:textId="3F54B9AC" w:rsidR="002558B3" w:rsidRPr="00CC00D4" w:rsidRDefault="002558B3" w:rsidP="00114230">
      <w:pPr>
        <w:pStyle w:val="Titolo3"/>
      </w:pPr>
      <w:bookmarkStart w:id="371" w:name="__RefHeading__4578_1479815270"/>
      <w:bookmarkStart w:id="372" w:name="_Toc92386555"/>
      <w:bookmarkStart w:id="373" w:name="_Toc124266327"/>
      <w:r w:rsidRPr="00CC00D4">
        <w:t>7.1.8 Dati fiscali</w:t>
      </w:r>
      <w:bookmarkEnd w:id="371"/>
      <w:bookmarkEnd w:id="372"/>
      <w:bookmarkEnd w:id="373"/>
    </w:p>
    <w:p w14:paraId="6E4B65C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riferimento alle risultanze fiscali nella Certificazione unica sono riportate:</w:t>
      </w:r>
    </w:p>
    <w:p w14:paraId="5D8C9E8B"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Somme e valori soggetti a tassazione ordinaria;</w:t>
      </w:r>
    </w:p>
    <w:p w14:paraId="76AB221E"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Somme soggette a ritenuta a titolo d’imposta o imposta sostitutiva;</w:t>
      </w:r>
    </w:p>
    <w:p w14:paraId="1E48E11F"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Somme sottoposte a tassazione separata;</w:t>
      </w:r>
    </w:p>
    <w:p w14:paraId="6CF11E6D"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Ammontare delle detrazioni fiscali (compresa l’ulteriore detrazione);</w:t>
      </w:r>
    </w:p>
    <w:p w14:paraId="79293654"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Importo dell’eventuale trattamento integrativo riconosciuto al collaboratore nonché dell’ex “Bonus Renzi”;</w:t>
      </w:r>
    </w:p>
    <w:p w14:paraId="3D1622BC"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Quantità dei giorni nel periodo d’imposta per i quali sono state riconosciute detrazioni, cosiddetti “giorni detrazione”;</w:t>
      </w:r>
    </w:p>
    <w:p w14:paraId="153F67A2" w14:textId="77777777" w:rsidR="002558B3" w:rsidRPr="00CC00D4" w:rsidRDefault="002558B3">
      <w:pPr>
        <w:pStyle w:val="Paragrafoelenco"/>
        <w:numPr>
          <w:ilvl w:val="0"/>
          <w:numId w:val="190"/>
        </w:numPr>
        <w:autoSpaceDN w:val="0"/>
        <w:ind w:left="709" w:hanging="357"/>
        <w:contextualSpacing/>
        <w:textAlignment w:val="baseline"/>
        <w:rPr>
          <w:rFonts w:cs="Tahoma"/>
          <w:szCs w:val="20"/>
        </w:rPr>
      </w:pPr>
      <w:r w:rsidRPr="00CC00D4">
        <w:rPr>
          <w:rFonts w:cs="Tahoma"/>
          <w:szCs w:val="20"/>
        </w:rPr>
        <w:t>Imposta lorda calcolata dal sostituto d’imposta e conseguente IRPEF netta;</w:t>
      </w:r>
    </w:p>
    <w:p w14:paraId="3C776374" w14:textId="77777777" w:rsidR="002558B3" w:rsidRPr="00CC00D4" w:rsidRDefault="002558B3">
      <w:pPr>
        <w:pStyle w:val="Paragrafoelenco"/>
        <w:numPr>
          <w:ilvl w:val="0"/>
          <w:numId w:val="190"/>
        </w:numPr>
        <w:autoSpaceDN w:val="0"/>
        <w:ind w:left="709"/>
        <w:textAlignment w:val="baseline"/>
        <w:rPr>
          <w:rFonts w:cs="Tahoma"/>
          <w:szCs w:val="20"/>
        </w:rPr>
      </w:pPr>
      <w:r w:rsidRPr="00CC00D4">
        <w:rPr>
          <w:rFonts w:cs="Tahoma"/>
          <w:szCs w:val="20"/>
        </w:rPr>
        <w:t>Addizionali regionali e comunali dovute e trattenute al collaboratore.</w:t>
      </w:r>
    </w:p>
    <w:p w14:paraId="4B2F3C6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Sempre la sezione dati fiscali ospita i relativi ai familiari a carico, per i quali l’interessato ha fruito delle detrazioni nel periodo d’imposta. Qui dovranno essere indicati il codice fiscale del familiare e, relativamente ai figli, si richiede di specificare:</w:t>
      </w:r>
    </w:p>
    <w:p w14:paraId="6E2DC88F" w14:textId="77777777" w:rsidR="002558B3" w:rsidRPr="00CC00D4" w:rsidRDefault="002558B3">
      <w:pPr>
        <w:pStyle w:val="Paragrafoelenco"/>
        <w:numPr>
          <w:ilvl w:val="0"/>
          <w:numId w:val="202"/>
        </w:numPr>
        <w:autoSpaceDN w:val="0"/>
        <w:ind w:left="709" w:hanging="357"/>
        <w:contextualSpacing/>
        <w:textAlignment w:val="baseline"/>
        <w:rPr>
          <w:rFonts w:cs="Tahoma"/>
          <w:szCs w:val="20"/>
        </w:rPr>
      </w:pPr>
      <w:r w:rsidRPr="00CC00D4">
        <w:rPr>
          <w:rFonts w:cs="Tahoma"/>
          <w:szCs w:val="20"/>
        </w:rPr>
        <w:t>Se trattasi di primo figlio;</w:t>
      </w:r>
    </w:p>
    <w:p w14:paraId="6D74012B" w14:textId="77777777" w:rsidR="002558B3" w:rsidRPr="00CC00D4" w:rsidRDefault="002558B3">
      <w:pPr>
        <w:pStyle w:val="Paragrafoelenco"/>
        <w:numPr>
          <w:ilvl w:val="0"/>
          <w:numId w:val="202"/>
        </w:numPr>
        <w:autoSpaceDN w:val="0"/>
        <w:ind w:left="709" w:hanging="357"/>
        <w:contextualSpacing/>
        <w:textAlignment w:val="baseline"/>
        <w:rPr>
          <w:rFonts w:cs="Tahoma"/>
          <w:szCs w:val="20"/>
        </w:rPr>
      </w:pPr>
      <w:r w:rsidRPr="00CC00D4">
        <w:rPr>
          <w:rFonts w:cs="Tahoma"/>
          <w:szCs w:val="20"/>
        </w:rPr>
        <w:t>Percentuale di ripartizione con l’altro genitore;</w:t>
      </w:r>
    </w:p>
    <w:p w14:paraId="165DCC21" w14:textId="77777777" w:rsidR="002558B3" w:rsidRPr="00CC00D4" w:rsidRDefault="002558B3">
      <w:pPr>
        <w:pStyle w:val="Paragrafoelenco"/>
        <w:numPr>
          <w:ilvl w:val="0"/>
          <w:numId w:val="202"/>
        </w:numPr>
        <w:autoSpaceDN w:val="0"/>
        <w:ind w:left="709"/>
        <w:textAlignment w:val="baseline"/>
        <w:rPr>
          <w:rFonts w:cs="Tahoma"/>
          <w:szCs w:val="20"/>
        </w:rPr>
      </w:pPr>
      <w:r w:rsidRPr="00CC00D4">
        <w:rPr>
          <w:rFonts w:cs="Tahoma"/>
          <w:szCs w:val="20"/>
        </w:rPr>
        <w:t>Soggetto portatore di handicap (ai fini della maggiorazione nel calcolo della detrazione).</w:t>
      </w:r>
    </w:p>
    <w:p w14:paraId="276CCB0F" w14:textId="0C809945"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Con esclusivo riferimento alla “Certificazione lavoro autonomo, provvigioni e redditi diversi” (specifica per i lavoratori autonomi occasionali) del modello 202</w:t>
      </w:r>
      <w:r w:rsidR="009C11E3" w:rsidRPr="00CC00D4">
        <w:rPr>
          <w:rFonts w:ascii="Tahoma" w:hAnsi="Tahoma" w:cs="Tahoma"/>
          <w:kern w:val="0"/>
          <w:sz w:val="20"/>
          <w:szCs w:val="20"/>
        </w:rPr>
        <w:t>2</w:t>
      </w:r>
      <w:r w:rsidRPr="00CC00D4">
        <w:rPr>
          <w:rFonts w:ascii="Tahoma" w:hAnsi="Tahoma" w:cs="Tahoma"/>
          <w:kern w:val="0"/>
          <w:sz w:val="20"/>
          <w:szCs w:val="20"/>
        </w:rPr>
        <w:t xml:space="preserve"> redditi 202</w:t>
      </w:r>
      <w:r w:rsidR="009C11E3" w:rsidRPr="00CC00D4">
        <w:rPr>
          <w:rFonts w:ascii="Tahoma" w:hAnsi="Tahoma" w:cs="Tahoma"/>
          <w:kern w:val="0"/>
          <w:sz w:val="20"/>
          <w:szCs w:val="20"/>
        </w:rPr>
        <w:t>1</w:t>
      </w:r>
      <w:r w:rsidRPr="00CC00D4">
        <w:rPr>
          <w:rFonts w:ascii="Tahoma" w:hAnsi="Tahoma" w:cs="Tahoma"/>
          <w:kern w:val="0"/>
          <w:sz w:val="20"/>
          <w:szCs w:val="20"/>
        </w:rPr>
        <w:t>, l’importo delle ritenute d’acconto versate con i codici 1019, 1020, 1040 e 104E dev’essere riportato all’interno del punto 9.</w:t>
      </w:r>
    </w:p>
    <w:p w14:paraId="13B6B35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 fronte di più compensi riconosciuti allo stesso percipiente, il sostituto ha la facoltà di:</w:t>
      </w:r>
    </w:p>
    <w:p w14:paraId="630B404F" w14:textId="77777777" w:rsidR="002558B3" w:rsidRPr="00CC00D4" w:rsidRDefault="002558B3">
      <w:pPr>
        <w:pStyle w:val="Paragrafoelenco"/>
        <w:numPr>
          <w:ilvl w:val="0"/>
          <w:numId w:val="193"/>
        </w:numPr>
        <w:autoSpaceDN w:val="0"/>
        <w:ind w:left="709" w:hanging="357"/>
        <w:contextualSpacing/>
        <w:textAlignment w:val="baseline"/>
        <w:rPr>
          <w:rFonts w:cs="Tahoma"/>
          <w:szCs w:val="20"/>
        </w:rPr>
      </w:pPr>
      <w:r w:rsidRPr="00CC00D4">
        <w:rPr>
          <w:rFonts w:cs="Tahoma"/>
          <w:szCs w:val="20"/>
        </w:rPr>
        <w:lastRenderedPageBreak/>
        <w:t>Totalizzare gli importi e “</w:t>
      </w:r>
      <w:r w:rsidRPr="00CC00D4">
        <w:rPr>
          <w:rFonts w:cs="Tahoma"/>
          <w:i/>
          <w:iCs/>
          <w:szCs w:val="20"/>
        </w:rPr>
        <w:t>compilazione un’unica certificazione qualora i compensi siano riferiti alla stessa causale</w:t>
      </w:r>
      <w:r w:rsidRPr="00CC00D4">
        <w:rPr>
          <w:rFonts w:cs="Tahoma"/>
          <w:szCs w:val="20"/>
        </w:rPr>
        <w:t>”;</w:t>
      </w:r>
    </w:p>
    <w:p w14:paraId="41AF14E1" w14:textId="77777777" w:rsidR="002558B3" w:rsidRPr="00CC00D4" w:rsidRDefault="002558B3">
      <w:pPr>
        <w:pStyle w:val="Paragrafoelenco"/>
        <w:numPr>
          <w:ilvl w:val="0"/>
          <w:numId w:val="193"/>
        </w:numPr>
        <w:autoSpaceDN w:val="0"/>
        <w:ind w:left="709"/>
        <w:textAlignment w:val="baseline"/>
        <w:rPr>
          <w:rFonts w:cs="Tahoma"/>
          <w:szCs w:val="20"/>
        </w:rPr>
      </w:pPr>
      <w:r w:rsidRPr="00CC00D4">
        <w:rPr>
          <w:rFonts w:cs="Tahoma"/>
          <w:szCs w:val="20"/>
        </w:rPr>
        <w:t>Compilare “</w:t>
      </w:r>
      <w:r w:rsidRPr="00CC00D4">
        <w:rPr>
          <w:rFonts w:cs="Tahoma"/>
          <w:i/>
          <w:iCs/>
          <w:szCs w:val="20"/>
        </w:rPr>
        <w:t>tante certificazioni quanti sono i compensi erogati nell’anno avendo cura di numerare progressivamente le singole certificazioni riguardanti il medesimo percipiente</w:t>
      </w:r>
      <w:r w:rsidRPr="00CC00D4">
        <w:rPr>
          <w:rFonts w:cs="Tahoma"/>
          <w:szCs w:val="20"/>
        </w:rPr>
        <w:t>”.</w:t>
      </w:r>
    </w:p>
    <w:p w14:paraId="74C0D11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 punto 1 dev’essere invece indicata la causale relativa al tipo di pagamento effettuato. Gli elenchi di codici disponibili sono due:</w:t>
      </w:r>
    </w:p>
    <w:p w14:paraId="2421E833" w14:textId="77777777" w:rsidR="002558B3" w:rsidRPr="00CC00D4" w:rsidRDefault="002558B3">
      <w:pPr>
        <w:pStyle w:val="Paragrafoelenco"/>
        <w:numPr>
          <w:ilvl w:val="0"/>
          <w:numId w:val="194"/>
        </w:numPr>
        <w:autoSpaceDN w:val="0"/>
        <w:ind w:left="709" w:hanging="357"/>
        <w:contextualSpacing/>
        <w:textAlignment w:val="baseline"/>
        <w:rPr>
          <w:rFonts w:cs="Tahoma"/>
          <w:szCs w:val="20"/>
        </w:rPr>
      </w:pPr>
      <w:r w:rsidRPr="00CC00D4">
        <w:rPr>
          <w:rFonts w:cs="Tahoma"/>
          <w:szCs w:val="20"/>
        </w:rPr>
        <w:t>Il primo riguarda le tipologie reddituali che possono essere indicate nel modello 730;</w:t>
      </w:r>
    </w:p>
    <w:p w14:paraId="43D5B0CA" w14:textId="77777777" w:rsidR="002558B3" w:rsidRPr="00CC00D4" w:rsidRDefault="002558B3">
      <w:pPr>
        <w:pStyle w:val="Paragrafoelenco"/>
        <w:numPr>
          <w:ilvl w:val="0"/>
          <w:numId w:val="194"/>
        </w:numPr>
        <w:autoSpaceDN w:val="0"/>
        <w:ind w:left="709"/>
        <w:textAlignment w:val="baseline"/>
        <w:rPr>
          <w:rFonts w:cs="Tahoma"/>
          <w:szCs w:val="20"/>
        </w:rPr>
      </w:pPr>
      <w:r w:rsidRPr="00CC00D4">
        <w:rPr>
          <w:rFonts w:cs="Tahoma"/>
          <w:szCs w:val="20"/>
        </w:rPr>
        <w:t>Il secondo concerne i redditi da dichiarare esclusivamente il modello REDDITI Persone Fisiche 2021.</w:t>
      </w:r>
    </w:p>
    <w:p w14:paraId="77EBFB1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All’interno del primo elenco si citano:</w:t>
      </w:r>
    </w:p>
    <w:p w14:paraId="330B922B" w14:textId="77777777" w:rsidR="002558B3" w:rsidRPr="00CC00D4" w:rsidRDefault="002558B3">
      <w:pPr>
        <w:pStyle w:val="Paragrafoelenco"/>
        <w:numPr>
          <w:ilvl w:val="0"/>
          <w:numId w:val="195"/>
        </w:numPr>
        <w:autoSpaceDN w:val="0"/>
        <w:ind w:left="709" w:hanging="357"/>
        <w:contextualSpacing/>
        <w:textAlignment w:val="baseline"/>
        <w:rPr>
          <w:rFonts w:cs="Tahoma"/>
          <w:szCs w:val="20"/>
        </w:rPr>
      </w:pPr>
      <w:r w:rsidRPr="00CC00D4">
        <w:rPr>
          <w:rFonts w:cs="Tahoma"/>
          <w:szCs w:val="20"/>
        </w:rPr>
        <w:t>Causale “</w:t>
      </w:r>
      <w:r w:rsidRPr="00CC00D4">
        <w:rPr>
          <w:rFonts w:cs="Tahoma"/>
          <w:i/>
          <w:iCs/>
          <w:szCs w:val="20"/>
        </w:rPr>
        <w:t>M – prestazioni di lavoro autonomo non esercitate abitualmente</w:t>
      </w:r>
      <w:r w:rsidRPr="00CC00D4">
        <w:rPr>
          <w:rFonts w:cs="Tahoma"/>
          <w:szCs w:val="20"/>
        </w:rPr>
        <w:t>”;</w:t>
      </w:r>
    </w:p>
    <w:p w14:paraId="5DF3511D" w14:textId="77777777" w:rsidR="002558B3" w:rsidRPr="00CC00D4" w:rsidRDefault="002558B3">
      <w:pPr>
        <w:pStyle w:val="Paragrafoelenco"/>
        <w:numPr>
          <w:ilvl w:val="0"/>
          <w:numId w:val="195"/>
        </w:numPr>
        <w:autoSpaceDN w:val="0"/>
        <w:ind w:left="709" w:hanging="357"/>
        <w:contextualSpacing/>
        <w:textAlignment w:val="baseline"/>
        <w:rPr>
          <w:rFonts w:cs="Tahoma"/>
          <w:szCs w:val="20"/>
        </w:rPr>
      </w:pPr>
      <w:r w:rsidRPr="00CC00D4">
        <w:rPr>
          <w:rFonts w:cs="Tahoma"/>
          <w:szCs w:val="20"/>
        </w:rPr>
        <w:t>Causale “</w:t>
      </w:r>
      <w:r w:rsidRPr="00CC00D4">
        <w:rPr>
          <w:rFonts w:cs="Tahoma"/>
          <w:i/>
          <w:szCs w:val="20"/>
        </w:rPr>
        <w:t>M1 – redditi derivanti dall’assunzione di obblighi di fare, di non fare o permettere</w:t>
      </w:r>
      <w:r w:rsidRPr="00CC00D4">
        <w:rPr>
          <w:rFonts w:cs="Tahoma"/>
          <w:szCs w:val="20"/>
        </w:rPr>
        <w:t>”;</w:t>
      </w:r>
    </w:p>
    <w:p w14:paraId="5A7BA90A" w14:textId="77777777" w:rsidR="002558B3" w:rsidRPr="00CC00D4" w:rsidRDefault="002558B3">
      <w:pPr>
        <w:pStyle w:val="Paragrafoelenco"/>
        <w:numPr>
          <w:ilvl w:val="0"/>
          <w:numId w:val="195"/>
        </w:numPr>
        <w:autoSpaceDN w:val="0"/>
        <w:ind w:left="709" w:hanging="357"/>
        <w:contextualSpacing/>
        <w:textAlignment w:val="baseline"/>
        <w:rPr>
          <w:rFonts w:cs="Tahoma"/>
          <w:szCs w:val="20"/>
        </w:rPr>
      </w:pPr>
      <w:r w:rsidRPr="00CC00D4">
        <w:rPr>
          <w:rFonts w:cs="Tahoma"/>
          <w:szCs w:val="20"/>
        </w:rPr>
        <w:t>Causale “</w:t>
      </w:r>
      <w:r w:rsidRPr="00CC00D4">
        <w:rPr>
          <w:rFonts w:cs="Tahoma"/>
          <w:i/>
          <w:iCs/>
          <w:szCs w:val="20"/>
        </w:rPr>
        <w:t>O – prestazioni di lavoro autonomo non esercitate abitualmente, per le quali non sussiste l’obbligo di iscrizione alla Gestione Separata (Circ. INPS n. 104/2001)</w:t>
      </w:r>
      <w:r w:rsidRPr="00CC00D4">
        <w:rPr>
          <w:rFonts w:cs="Tahoma"/>
          <w:szCs w:val="20"/>
        </w:rPr>
        <w:t>”;</w:t>
      </w:r>
    </w:p>
    <w:p w14:paraId="5510C6DD" w14:textId="77777777" w:rsidR="002558B3" w:rsidRPr="00CC00D4" w:rsidRDefault="002558B3">
      <w:pPr>
        <w:pStyle w:val="Paragrafoelenco"/>
        <w:numPr>
          <w:ilvl w:val="0"/>
          <w:numId w:val="195"/>
        </w:numPr>
        <w:autoSpaceDN w:val="0"/>
        <w:ind w:left="709" w:hanging="357"/>
        <w:contextualSpacing/>
        <w:textAlignment w:val="baseline"/>
        <w:rPr>
          <w:rFonts w:cs="Tahoma"/>
          <w:szCs w:val="20"/>
        </w:rPr>
      </w:pPr>
      <w:r w:rsidRPr="00CC00D4">
        <w:rPr>
          <w:rFonts w:cs="Tahoma"/>
          <w:szCs w:val="20"/>
        </w:rPr>
        <w:t>Causale “</w:t>
      </w:r>
      <w:r w:rsidRPr="00CC00D4">
        <w:rPr>
          <w:rFonts w:cs="Tahoma"/>
          <w:i/>
          <w:szCs w:val="20"/>
        </w:rPr>
        <w:t xml:space="preserve">O1 – redditi derivanti dall’assunzione di obblighi di fare, di non fare o permettere, per le quali non sussiste l’obbligo di iscrizione </w:t>
      </w:r>
      <w:r w:rsidRPr="00CC00D4">
        <w:rPr>
          <w:rFonts w:cs="Tahoma"/>
          <w:i/>
          <w:iCs/>
          <w:szCs w:val="20"/>
        </w:rPr>
        <w:t>alla Gestione Separata (Circ. INPS n. 104/2001)</w:t>
      </w:r>
      <w:r w:rsidRPr="00CC00D4">
        <w:rPr>
          <w:rFonts w:cs="Tahoma"/>
          <w:szCs w:val="20"/>
        </w:rPr>
        <w:t>”;</w:t>
      </w:r>
    </w:p>
    <w:p w14:paraId="7FA9EB24" w14:textId="77777777" w:rsidR="002558B3" w:rsidRPr="00CC00D4" w:rsidRDefault="002558B3">
      <w:pPr>
        <w:pStyle w:val="Paragrafoelenco"/>
        <w:numPr>
          <w:ilvl w:val="0"/>
          <w:numId w:val="195"/>
        </w:numPr>
        <w:autoSpaceDN w:val="0"/>
        <w:ind w:left="709"/>
        <w:textAlignment w:val="baseline"/>
        <w:rPr>
          <w:rFonts w:cs="Tahoma"/>
          <w:szCs w:val="20"/>
        </w:rPr>
      </w:pPr>
      <w:r w:rsidRPr="00CC00D4">
        <w:rPr>
          <w:rFonts w:cs="Tahoma"/>
          <w:szCs w:val="20"/>
        </w:rPr>
        <w:t>Causale “</w:t>
      </w:r>
      <w:r w:rsidRPr="00CC00D4">
        <w:rPr>
          <w:rFonts w:cs="Tahoma"/>
          <w:i/>
          <w:szCs w:val="20"/>
        </w:rPr>
        <w:t>V - provvigioni corrisposte a incaricato per le vendite a domicilio; provvigioni corrisposte a incaricato per la vendita porta a porta e per la vendita ambulante di giornali quotidiani e periodici (L. 25 febbraio 1987, n. 67)</w:t>
      </w:r>
      <w:r w:rsidRPr="00CC00D4">
        <w:rPr>
          <w:rFonts w:cs="Tahoma"/>
          <w:szCs w:val="20"/>
        </w:rPr>
        <w:t>”.</w:t>
      </w:r>
    </w:p>
    <w:p w14:paraId="34AEC2A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Successivamente nei seguenti campi:</w:t>
      </w:r>
    </w:p>
    <w:p w14:paraId="2F6D92C0" w14:textId="77777777" w:rsidR="002558B3" w:rsidRPr="00CC00D4" w:rsidRDefault="002558B3">
      <w:pPr>
        <w:pStyle w:val="Paragrafoelenco"/>
        <w:numPr>
          <w:ilvl w:val="0"/>
          <w:numId w:val="188"/>
        </w:numPr>
        <w:autoSpaceDN w:val="0"/>
        <w:ind w:left="709" w:hanging="357"/>
        <w:contextualSpacing/>
        <w:textAlignment w:val="baseline"/>
        <w:rPr>
          <w:rFonts w:cs="Tahoma"/>
          <w:szCs w:val="20"/>
        </w:rPr>
      </w:pPr>
      <w:r w:rsidRPr="00CC00D4">
        <w:rPr>
          <w:rFonts w:cs="Tahoma"/>
          <w:szCs w:val="20"/>
        </w:rPr>
        <w:t>Punto 4 va indicato l’ammontare lordo del compenso;</w:t>
      </w:r>
    </w:p>
    <w:p w14:paraId="19A397AF" w14:textId="77777777" w:rsidR="002558B3" w:rsidRPr="00CC00D4" w:rsidRDefault="002558B3">
      <w:pPr>
        <w:pStyle w:val="Paragrafoelenco"/>
        <w:numPr>
          <w:ilvl w:val="0"/>
          <w:numId w:val="188"/>
        </w:numPr>
        <w:autoSpaceDN w:val="0"/>
        <w:ind w:left="709" w:hanging="357"/>
        <w:contextualSpacing/>
        <w:textAlignment w:val="baseline"/>
        <w:rPr>
          <w:rFonts w:cs="Tahoma"/>
          <w:szCs w:val="20"/>
        </w:rPr>
      </w:pPr>
      <w:r w:rsidRPr="00CC00D4">
        <w:rPr>
          <w:rFonts w:cs="Tahoma"/>
          <w:szCs w:val="20"/>
        </w:rPr>
        <w:t>Punto 7 devono essere riportate le somme che, per espressa disposizione di legge, non costituiscono reddito imponibile per il percipiente, ad esempio quelle erogate a titolo di rimborso spese anticipate per conto dei committenti;</w:t>
      </w:r>
    </w:p>
    <w:p w14:paraId="33FED670" w14:textId="77777777" w:rsidR="002558B3" w:rsidRPr="00CC00D4" w:rsidRDefault="002558B3">
      <w:pPr>
        <w:pStyle w:val="Paragrafoelenco"/>
        <w:numPr>
          <w:ilvl w:val="0"/>
          <w:numId w:val="188"/>
        </w:numPr>
        <w:autoSpaceDN w:val="0"/>
        <w:ind w:left="709" w:hanging="357"/>
        <w:contextualSpacing/>
        <w:textAlignment w:val="baseline"/>
        <w:rPr>
          <w:rFonts w:cs="Tahoma"/>
          <w:szCs w:val="20"/>
        </w:rPr>
      </w:pPr>
      <w:r w:rsidRPr="00CC00D4">
        <w:rPr>
          <w:rFonts w:cs="Tahoma"/>
          <w:szCs w:val="20"/>
        </w:rPr>
        <w:t>Punto 8 contiene l’ammontare imponibile a livello fiscale ottenuto scomputando dall’importo di cui al punto 4 le somme non soggette a tassazione indicate al punto 7;</w:t>
      </w:r>
    </w:p>
    <w:p w14:paraId="52755390" w14:textId="77777777" w:rsidR="002558B3" w:rsidRPr="00CC00D4" w:rsidRDefault="002558B3">
      <w:pPr>
        <w:pStyle w:val="Paragrafoelenco"/>
        <w:numPr>
          <w:ilvl w:val="0"/>
          <w:numId w:val="188"/>
        </w:numPr>
        <w:autoSpaceDN w:val="0"/>
        <w:ind w:left="709"/>
        <w:textAlignment w:val="baseline"/>
        <w:rPr>
          <w:rFonts w:cs="Tahoma"/>
          <w:szCs w:val="20"/>
        </w:rPr>
      </w:pPr>
      <w:r w:rsidRPr="00CC00D4">
        <w:rPr>
          <w:rFonts w:cs="Tahoma"/>
          <w:szCs w:val="20"/>
        </w:rPr>
        <w:t>Punto 9 riporta l’ammontare delle ritenute d’acconto effettuate nel periodo d’imposta.</w:t>
      </w:r>
    </w:p>
    <w:p w14:paraId="7A13A316"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E6472C9" w14:textId="11407AEE" w:rsidR="002558B3" w:rsidRPr="00CC00D4" w:rsidRDefault="002558B3" w:rsidP="00114230">
      <w:pPr>
        <w:pStyle w:val="Titolo3"/>
      </w:pPr>
      <w:bookmarkStart w:id="374" w:name="__RefHeading__4580_1479815270"/>
      <w:bookmarkStart w:id="375" w:name="_Toc92386556"/>
      <w:bookmarkStart w:id="376" w:name="_Toc124266328"/>
      <w:r w:rsidRPr="00CC00D4">
        <w:t>7.1.9 Dati previdenziali</w:t>
      </w:r>
      <w:bookmarkEnd w:id="374"/>
      <w:bookmarkEnd w:id="375"/>
      <w:bookmarkEnd w:id="376"/>
    </w:p>
    <w:p w14:paraId="4E94632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Per quanto concerne i dati previdenziali in CU:</w:t>
      </w:r>
    </w:p>
    <w:p w14:paraId="2DACE314" w14:textId="77777777" w:rsidR="002558B3" w:rsidRPr="00CC00D4" w:rsidRDefault="002558B3">
      <w:pPr>
        <w:pStyle w:val="Paragrafoelenco"/>
        <w:numPr>
          <w:ilvl w:val="0"/>
          <w:numId w:val="183"/>
        </w:numPr>
        <w:autoSpaceDN w:val="0"/>
        <w:ind w:left="709" w:hanging="357"/>
        <w:contextualSpacing/>
        <w:textAlignment w:val="baseline"/>
        <w:rPr>
          <w:rFonts w:cs="Tahoma"/>
          <w:szCs w:val="20"/>
        </w:rPr>
      </w:pPr>
      <w:r w:rsidRPr="00CC00D4">
        <w:rPr>
          <w:rFonts w:cs="Tahoma"/>
          <w:szCs w:val="20"/>
        </w:rPr>
        <w:t>Il punto 29 ospita il codice fiscale dell’ente previdenziale;</w:t>
      </w:r>
    </w:p>
    <w:p w14:paraId="5C903F2B" w14:textId="77777777" w:rsidR="002558B3" w:rsidRPr="00CC00D4" w:rsidRDefault="002558B3">
      <w:pPr>
        <w:pStyle w:val="Paragrafoelenco"/>
        <w:numPr>
          <w:ilvl w:val="0"/>
          <w:numId w:val="183"/>
        </w:numPr>
        <w:autoSpaceDN w:val="0"/>
        <w:ind w:left="709" w:hanging="357"/>
        <w:contextualSpacing/>
        <w:textAlignment w:val="baseline"/>
        <w:rPr>
          <w:rFonts w:cs="Tahoma"/>
          <w:szCs w:val="20"/>
        </w:rPr>
      </w:pPr>
      <w:r w:rsidRPr="00CC00D4">
        <w:rPr>
          <w:rFonts w:cs="Tahoma"/>
          <w:szCs w:val="20"/>
        </w:rPr>
        <w:lastRenderedPageBreak/>
        <w:t>Il punto 30 la denominazione dell’ente previdenziale;</w:t>
      </w:r>
    </w:p>
    <w:p w14:paraId="24D44AB6" w14:textId="77777777" w:rsidR="002558B3" w:rsidRPr="00CC00D4" w:rsidRDefault="002558B3">
      <w:pPr>
        <w:pStyle w:val="Paragrafoelenco"/>
        <w:numPr>
          <w:ilvl w:val="0"/>
          <w:numId w:val="183"/>
        </w:numPr>
        <w:autoSpaceDN w:val="0"/>
        <w:ind w:left="709" w:hanging="357"/>
        <w:contextualSpacing/>
        <w:textAlignment w:val="baseline"/>
        <w:rPr>
          <w:rFonts w:cs="Tahoma"/>
          <w:szCs w:val="20"/>
        </w:rPr>
      </w:pPr>
      <w:r w:rsidRPr="00CC00D4">
        <w:rPr>
          <w:rFonts w:cs="Tahoma"/>
          <w:szCs w:val="20"/>
        </w:rPr>
        <w:t>Il punto 32 l’eventuale codice attribuito all’azienda / committente per identificarla nei suoi rapporti con l’ente;</w:t>
      </w:r>
    </w:p>
    <w:p w14:paraId="7F42E5C8" w14:textId="77777777" w:rsidR="002558B3" w:rsidRPr="00CC00D4" w:rsidRDefault="002558B3">
      <w:pPr>
        <w:pStyle w:val="Paragrafoelenco"/>
        <w:numPr>
          <w:ilvl w:val="0"/>
          <w:numId w:val="183"/>
        </w:numPr>
        <w:autoSpaceDN w:val="0"/>
        <w:ind w:left="709"/>
        <w:textAlignment w:val="baseline"/>
        <w:rPr>
          <w:rFonts w:cs="Tahoma"/>
          <w:szCs w:val="20"/>
        </w:rPr>
      </w:pPr>
      <w:r w:rsidRPr="00CC00D4">
        <w:rPr>
          <w:rFonts w:cs="Tahoma"/>
          <w:szCs w:val="20"/>
        </w:rPr>
        <w:t>Il punto 33 riguardante la categoria di appartenenza dell’iscritto all’ente (riservato a ENPAM, ENPAPI ed INPS – Gestione ex Enpals).</w:t>
      </w:r>
    </w:p>
    <w:p w14:paraId="4476164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Nei punti 34 e 35 dev’essere indicato l’ammontare dei “</w:t>
      </w:r>
      <w:r w:rsidRPr="00CC00D4">
        <w:rPr>
          <w:rFonts w:ascii="Tahoma" w:hAnsi="Tahoma" w:cs="Tahoma"/>
          <w:i/>
          <w:kern w:val="0"/>
          <w:sz w:val="20"/>
          <w:szCs w:val="20"/>
        </w:rPr>
        <w:t>redditi annui superiori a euro 5.000 derivanti dalle attività contrassegnate al punto 1 dai codici “M”, “M1” e “V”</w:t>
      </w:r>
      <w:r w:rsidRPr="00CC00D4">
        <w:rPr>
          <w:rFonts w:ascii="Tahoma" w:hAnsi="Tahoma" w:cs="Tahoma"/>
          <w:kern w:val="0"/>
          <w:sz w:val="20"/>
          <w:szCs w:val="20"/>
        </w:rPr>
        <w:t>, nello specifico:</w:t>
      </w:r>
    </w:p>
    <w:p w14:paraId="01427080" w14:textId="77777777" w:rsidR="002558B3" w:rsidRPr="00CC00D4" w:rsidRDefault="002558B3">
      <w:pPr>
        <w:pStyle w:val="Paragrafoelenco"/>
        <w:numPr>
          <w:ilvl w:val="0"/>
          <w:numId w:val="187"/>
        </w:numPr>
        <w:autoSpaceDN w:val="0"/>
        <w:ind w:left="709" w:hanging="357"/>
        <w:contextualSpacing/>
        <w:textAlignment w:val="baseline"/>
        <w:rPr>
          <w:rFonts w:cs="Tahoma"/>
          <w:szCs w:val="20"/>
        </w:rPr>
      </w:pPr>
      <w:r w:rsidRPr="00CC00D4">
        <w:rPr>
          <w:rFonts w:cs="Tahoma"/>
          <w:szCs w:val="20"/>
        </w:rPr>
        <w:t>Prestazioni di lavoro autonomo occasionale (codice “M”);</w:t>
      </w:r>
    </w:p>
    <w:p w14:paraId="6CE2A0E2" w14:textId="77777777" w:rsidR="002558B3" w:rsidRPr="00CC00D4" w:rsidRDefault="002558B3">
      <w:pPr>
        <w:pStyle w:val="Paragrafoelenco"/>
        <w:numPr>
          <w:ilvl w:val="0"/>
          <w:numId w:val="187"/>
        </w:numPr>
        <w:autoSpaceDN w:val="0"/>
        <w:ind w:left="709" w:hanging="357"/>
        <w:contextualSpacing/>
        <w:textAlignment w:val="baseline"/>
        <w:rPr>
          <w:rFonts w:cs="Tahoma"/>
          <w:szCs w:val="20"/>
        </w:rPr>
      </w:pPr>
      <w:r w:rsidRPr="00CC00D4">
        <w:rPr>
          <w:rFonts w:cs="Tahoma"/>
          <w:szCs w:val="20"/>
        </w:rPr>
        <w:t>Redditi derivanti dall’assunzione di obblighi di fare, di non fare o permettere (codice “M1”);</w:t>
      </w:r>
    </w:p>
    <w:p w14:paraId="4D42FBC2" w14:textId="77777777" w:rsidR="002558B3" w:rsidRPr="00CC00D4" w:rsidRDefault="002558B3">
      <w:pPr>
        <w:pStyle w:val="Paragrafoelenco"/>
        <w:numPr>
          <w:ilvl w:val="0"/>
          <w:numId w:val="187"/>
        </w:numPr>
        <w:autoSpaceDN w:val="0"/>
        <w:ind w:left="709"/>
        <w:textAlignment w:val="baseline"/>
        <w:rPr>
          <w:rFonts w:cs="Tahoma"/>
          <w:szCs w:val="20"/>
        </w:rPr>
      </w:pPr>
      <w:r w:rsidRPr="00CC00D4">
        <w:rPr>
          <w:rFonts w:cs="Tahoma"/>
          <w:szCs w:val="20"/>
        </w:rPr>
        <w:t>Provvigioni corrisposte a incaricati per le vendite a domicilio (codice “V”).</w:t>
      </w:r>
    </w:p>
    <w:p w14:paraId="1DC1180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Negli ulteriori punti:</w:t>
      </w:r>
    </w:p>
    <w:p w14:paraId="13C349CA" w14:textId="77777777" w:rsidR="002558B3" w:rsidRPr="00CC00D4" w:rsidRDefault="002558B3">
      <w:pPr>
        <w:pStyle w:val="Paragrafoelenco"/>
        <w:numPr>
          <w:ilvl w:val="0"/>
          <w:numId w:val="186"/>
        </w:numPr>
        <w:autoSpaceDN w:val="0"/>
        <w:ind w:left="709" w:hanging="357"/>
        <w:contextualSpacing/>
        <w:textAlignment w:val="baseline"/>
        <w:rPr>
          <w:rFonts w:cs="Tahoma"/>
          <w:szCs w:val="20"/>
        </w:rPr>
      </w:pPr>
      <w:r w:rsidRPr="00CC00D4">
        <w:rPr>
          <w:rFonts w:cs="Tahoma"/>
          <w:szCs w:val="20"/>
        </w:rPr>
        <w:t>38 è necessario indicare il totale dei contributi dovuti all’Ente in base alle aliquote stabilite dalla normativa di riferimento;</w:t>
      </w:r>
    </w:p>
    <w:p w14:paraId="45F29948" w14:textId="77777777" w:rsidR="002558B3" w:rsidRPr="00CC00D4" w:rsidRDefault="002558B3">
      <w:pPr>
        <w:pStyle w:val="Paragrafoelenco"/>
        <w:numPr>
          <w:ilvl w:val="0"/>
          <w:numId w:val="186"/>
        </w:numPr>
        <w:autoSpaceDN w:val="0"/>
        <w:ind w:left="709"/>
        <w:textAlignment w:val="baseline"/>
        <w:rPr>
          <w:rFonts w:cs="Tahoma"/>
          <w:szCs w:val="20"/>
        </w:rPr>
      </w:pPr>
      <w:r w:rsidRPr="00CC00D4">
        <w:rPr>
          <w:rFonts w:cs="Tahoma"/>
          <w:szCs w:val="20"/>
        </w:rPr>
        <w:t>39 l’ammontare dei contributi effettivamente versati dal sostituto d’imposta all’Ente previdenziale competente.</w:t>
      </w:r>
    </w:p>
    <w:p w14:paraId="06EF4344" w14:textId="77777777" w:rsidR="002558B3" w:rsidRPr="00CC00D4" w:rsidRDefault="002558B3" w:rsidP="002558B3">
      <w:pPr>
        <w:pStyle w:val="Standard"/>
        <w:spacing w:after="200" w:line="360" w:lineRule="auto"/>
        <w:jc w:val="both"/>
        <w:rPr>
          <w:rFonts w:ascii="Tahoma" w:hAnsi="Tahoma" w:cs="Tahoma"/>
          <w:kern w:val="0"/>
          <w:sz w:val="20"/>
          <w:szCs w:val="20"/>
        </w:rPr>
      </w:pPr>
    </w:p>
    <w:p w14:paraId="23F42E98" w14:textId="13598080" w:rsidR="002558B3" w:rsidRPr="00CC00D4" w:rsidRDefault="002558B3" w:rsidP="00F64729">
      <w:pPr>
        <w:pStyle w:val="Titolo2"/>
      </w:pPr>
      <w:bookmarkStart w:id="377" w:name="__RefHeading__4582_1479815270"/>
      <w:bookmarkStart w:id="378" w:name="_Toc92386557"/>
      <w:bookmarkStart w:id="379" w:name="_Toc124266329"/>
      <w:r w:rsidRPr="00CC00D4">
        <w:t>7.2 Modello 770</w:t>
      </w:r>
      <w:bookmarkEnd w:id="377"/>
      <w:bookmarkEnd w:id="378"/>
      <w:bookmarkEnd w:id="379"/>
    </w:p>
    <w:p w14:paraId="69AC3B1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sostituti d’imposta hanno l’obbligo di comunicare attraverso l’invio telematico all’Agenzia entrate del modello 770:</w:t>
      </w:r>
    </w:p>
    <w:p w14:paraId="0F647C5D" w14:textId="77777777" w:rsidR="002558B3" w:rsidRPr="00CC00D4" w:rsidRDefault="002558B3">
      <w:pPr>
        <w:pStyle w:val="Paragrafoelenco"/>
        <w:numPr>
          <w:ilvl w:val="0"/>
          <w:numId w:val="184"/>
        </w:numPr>
        <w:autoSpaceDN w:val="0"/>
        <w:ind w:left="709" w:hanging="357"/>
        <w:contextualSpacing/>
        <w:textAlignment w:val="baseline"/>
        <w:rPr>
          <w:rFonts w:cs="Tahoma"/>
          <w:szCs w:val="20"/>
        </w:rPr>
      </w:pPr>
      <w:r w:rsidRPr="00CC00D4">
        <w:rPr>
          <w:rFonts w:cs="Tahoma"/>
          <w:szCs w:val="20"/>
        </w:rPr>
        <w:t>Le ritenute operate nel periodo d’imposta interessato, nonché i relativi versamenti e le eventuali compensazioni dei crediti;</w:t>
      </w:r>
    </w:p>
    <w:p w14:paraId="1D03B170" w14:textId="77777777" w:rsidR="002558B3" w:rsidRPr="00CC00D4" w:rsidRDefault="002558B3">
      <w:pPr>
        <w:pStyle w:val="Paragrafoelenco"/>
        <w:numPr>
          <w:ilvl w:val="0"/>
          <w:numId w:val="184"/>
        </w:numPr>
        <w:autoSpaceDN w:val="0"/>
        <w:ind w:left="709"/>
        <w:textAlignment w:val="baseline"/>
        <w:rPr>
          <w:rFonts w:cs="Tahoma"/>
          <w:szCs w:val="20"/>
        </w:rPr>
      </w:pPr>
      <w:r w:rsidRPr="00CC00D4">
        <w:rPr>
          <w:rFonts w:cs="Tahoma"/>
          <w:szCs w:val="20"/>
        </w:rPr>
        <w:t>I dati contributivi;</w:t>
      </w:r>
    </w:p>
    <w:p w14:paraId="31BACB4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nel rispetto del termine del 31 ottobre, salvo proroga al primo giorno feriale successivo, nel caso in cui il termine cada di sabato o in un giorno festivo.</w:t>
      </w:r>
    </w:p>
    <w:p w14:paraId="66149E4E" w14:textId="4FA3980D"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Sul sito dell’Agenzia Entrate (“</w:t>
      </w:r>
      <w:r w:rsidRPr="00CC00D4">
        <w:rPr>
          <w:rFonts w:ascii="Tahoma" w:hAnsi="Tahoma" w:cs="Tahoma"/>
          <w:i/>
          <w:iCs/>
          <w:kern w:val="0"/>
          <w:sz w:val="20"/>
          <w:szCs w:val="20"/>
        </w:rPr>
        <w:t>agenziaentrate.gov.it</w:t>
      </w:r>
      <w:r w:rsidRPr="00CC00D4">
        <w:rPr>
          <w:rFonts w:ascii="Tahoma" w:hAnsi="Tahoma" w:cs="Tahoma"/>
          <w:kern w:val="0"/>
          <w:sz w:val="20"/>
          <w:szCs w:val="20"/>
        </w:rPr>
        <w:t xml:space="preserve"> – </w:t>
      </w:r>
      <w:r w:rsidRPr="00CC00D4">
        <w:rPr>
          <w:rFonts w:ascii="Tahoma" w:hAnsi="Tahoma" w:cs="Tahoma"/>
          <w:i/>
          <w:iCs/>
          <w:kern w:val="0"/>
          <w:sz w:val="20"/>
          <w:szCs w:val="20"/>
        </w:rPr>
        <w:t xml:space="preserve">Schede informative e servizi </w:t>
      </w:r>
      <w:hyperlink r:id="rId47" w:history="1">
        <w:r w:rsidRPr="00CC00D4">
          <w:rPr>
            <w:rStyle w:val="Collegamentoipertestuale"/>
            <w:rFonts w:ascii="Tahoma" w:hAnsi="Tahoma" w:cs="Tahoma"/>
            <w:i/>
            <w:iCs/>
            <w:kern w:val="0"/>
            <w:sz w:val="20"/>
            <w:szCs w:val="20"/>
          </w:rPr>
          <w:t>– Dichiarazioni – 770 202</w:t>
        </w:r>
        <w:r w:rsidR="009C11E3" w:rsidRPr="00CC00D4">
          <w:rPr>
            <w:rStyle w:val="Collegamentoipertestuale"/>
            <w:rFonts w:ascii="Tahoma" w:hAnsi="Tahoma" w:cs="Tahoma"/>
            <w:i/>
            <w:iCs/>
            <w:kern w:val="0"/>
            <w:sz w:val="20"/>
            <w:szCs w:val="20"/>
          </w:rPr>
          <w:t>2</w:t>
        </w:r>
        <w:r w:rsidRPr="00CC00D4">
          <w:rPr>
            <w:rStyle w:val="Collegamentoipertestuale"/>
            <w:rFonts w:ascii="Tahoma" w:hAnsi="Tahoma" w:cs="Tahoma"/>
            <w:i/>
            <w:iCs/>
            <w:kern w:val="0"/>
            <w:sz w:val="20"/>
            <w:szCs w:val="20"/>
          </w:rPr>
          <w:t xml:space="preserve"> – Modello e istruzioni</w:t>
        </w:r>
      </w:hyperlink>
      <w:r w:rsidRPr="00CC00D4">
        <w:rPr>
          <w:rFonts w:ascii="Tahoma" w:hAnsi="Tahoma" w:cs="Tahoma"/>
          <w:kern w:val="0"/>
          <w:sz w:val="20"/>
          <w:szCs w:val="20"/>
        </w:rPr>
        <w:t>”) è pubblicato il modello 770/202</w:t>
      </w:r>
      <w:r w:rsidR="009C11E3" w:rsidRPr="00CC00D4">
        <w:rPr>
          <w:rFonts w:ascii="Tahoma" w:hAnsi="Tahoma" w:cs="Tahoma"/>
          <w:kern w:val="0"/>
          <w:sz w:val="20"/>
          <w:szCs w:val="20"/>
        </w:rPr>
        <w:t>2</w:t>
      </w:r>
      <w:r w:rsidRPr="00CC00D4">
        <w:rPr>
          <w:rFonts w:ascii="Tahoma" w:hAnsi="Tahoma" w:cs="Tahoma"/>
          <w:kern w:val="0"/>
          <w:sz w:val="20"/>
          <w:szCs w:val="20"/>
        </w:rPr>
        <w:t xml:space="preserve"> e le istruzioni per la compilazione, scaricabili in pdf.</w:t>
      </w:r>
    </w:p>
    <w:p w14:paraId="400A15CA" w14:textId="77777777" w:rsidR="002558B3" w:rsidRPr="00CC00D4" w:rsidRDefault="002558B3" w:rsidP="002558B3">
      <w:pPr>
        <w:pStyle w:val="Standard"/>
        <w:spacing w:after="200" w:line="360" w:lineRule="auto"/>
        <w:jc w:val="both"/>
        <w:rPr>
          <w:rFonts w:ascii="Tahoma" w:hAnsi="Tahoma" w:cs="Tahoma"/>
          <w:kern w:val="0"/>
          <w:sz w:val="20"/>
          <w:szCs w:val="20"/>
        </w:rPr>
      </w:pPr>
    </w:p>
    <w:p w14:paraId="5DF2BF19" w14:textId="732FC062" w:rsidR="002558B3" w:rsidRPr="00CC00D4" w:rsidRDefault="009E771B" w:rsidP="00F64729">
      <w:pPr>
        <w:pStyle w:val="Titolo3"/>
        <w:rPr>
          <w:u w:val="none"/>
        </w:rPr>
      </w:pPr>
      <w:bookmarkStart w:id="380" w:name="__RefHeading__4584_1479815270"/>
      <w:bookmarkStart w:id="381" w:name="_Toc92386558"/>
      <w:r w:rsidRPr="00CC00D4">
        <w:br w:type="page"/>
      </w:r>
      <w:bookmarkStart w:id="382" w:name="_Toc124266330"/>
      <w:r w:rsidR="002558B3" w:rsidRPr="00CC00D4">
        <w:lastRenderedPageBreak/>
        <w:t>7.2.1 Soggetti obbligati</w:t>
      </w:r>
      <w:bookmarkEnd w:id="380"/>
      <w:bookmarkEnd w:id="381"/>
      <w:bookmarkEnd w:id="382"/>
    </w:p>
    <w:p w14:paraId="4499FE5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tenuti ad inviare i soggetti che nel periodo di competenza del modello hanno corrisposto:</w:t>
      </w:r>
    </w:p>
    <w:p w14:paraId="62BE5A44" w14:textId="77777777" w:rsidR="002558B3" w:rsidRPr="00CC00D4" w:rsidRDefault="002558B3">
      <w:pPr>
        <w:pStyle w:val="Paragrafoelenco"/>
        <w:numPr>
          <w:ilvl w:val="0"/>
          <w:numId w:val="185"/>
        </w:numPr>
        <w:autoSpaceDN w:val="0"/>
        <w:ind w:left="709" w:hanging="357"/>
        <w:contextualSpacing/>
        <w:textAlignment w:val="baseline"/>
        <w:rPr>
          <w:rFonts w:cs="Tahoma"/>
          <w:szCs w:val="20"/>
        </w:rPr>
      </w:pPr>
      <w:r w:rsidRPr="00CC00D4">
        <w:rPr>
          <w:rFonts w:cs="Tahoma"/>
          <w:szCs w:val="20"/>
        </w:rPr>
        <w:t>Somme o valori soggetti a ritenuta alla fonte su redditi di capitale;</w:t>
      </w:r>
    </w:p>
    <w:p w14:paraId="3B99D1AC" w14:textId="77777777" w:rsidR="002558B3" w:rsidRPr="00CC00D4" w:rsidRDefault="002558B3">
      <w:pPr>
        <w:pStyle w:val="Paragrafoelenco"/>
        <w:numPr>
          <w:ilvl w:val="0"/>
          <w:numId w:val="185"/>
        </w:numPr>
        <w:autoSpaceDN w:val="0"/>
        <w:ind w:left="709" w:hanging="357"/>
        <w:contextualSpacing/>
        <w:textAlignment w:val="baseline"/>
        <w:rPr>
          <w:rFonts w:cs="Tahoma"/>
          <w:szCs w:val="20"/>
        </w:rPr>
      </w:pPr>
      <w:r w:rsidRPr="00CC00D4">
        <w:rPr>
          <w:rFonts w:cs="Tahoma"/>
          <w:szCs w:val="20"/>
        </w:rPr>
        <w:t>Compensi per avviamento commerciale;</w:t>
      </w:r>
    </w:p>
    <w:p w14:paraId="170D8DB3" w14:textId="77777777" w:rsidR="002558B3" w:rsidRPr="00CC00D4" w:rsidRDefault="002558B3">
      <w:pPr>
        <w:pStyle w:val="Paragrafoelenco"/>
        <w:numPr>
          <w:ilvl w:val="0"/>
          <w:numId w:val="185"/>
        </w:numPr>
        <w:autoSpaceDN w:val="0"/>
        <w:ind w:left="709" w:hanging="357"/>
        <w:contextualSpacing/>
        <w:textAlignment w:val="baseline"/>
        <w:rPr>
          <w:rFonts w:cs="Tahoma"/>
          <w:szCs w:val="20"/>
        </w:rPr>
      </w:pPr>
      <w:r w:rsidRPr="00CC00D4">
        <w:rPr>
          <w:rFonts w:cs="Tahoma"/>
          <w:szCs w:val="20"/>
        </w:rPr>
        <w:t>Contributi ad enti pubblici e privati;</w:t>
      </w:r>
    </w:p>
    <w:p w14:paraId="7E01DA2D" w14:textId="77777777" w:rsidR="002558B3" w:rsidRPr="00CC00D4" w:rsidRDefault="002558B3">
      <w:pPr>
        <w:pStyle w:val="Paragrafoelenco"/>
        <w:numPr>
          <w:ilvl w:val="0"/>
          <w:numId w:val="185"/>
        </w:numPr>
        <w:autoSpaceDN w:val="0"/>
        <w:ind w:left="709" w:hanging="357"/>
        <w:contextualSpacing/>
        <w:textAlignment w:val="baseline"/>
        <w:rPr>
          <w:rFonts w:cs="Tahoma"/>
          <w:szCs w:val="20"/>
        </w:rPr>
      </w:pPr>
      <w:r w:rsidRPr="00CC00D4">
        <w:rPr>
          <w:rFonts w:cs="Tahoma"/>
          <w:szCs w:val="20"/>
        </w:rPr>
        <w:t>Riscatti da contratti di assicurazione sulla vita, premi, vincite ed altri proventi finanziari ivi compresi quelli derivanti da partecipazioni a organismi di investimento collettivo in valori mobiliari di diritto estero;</w:t>
      </w:r>
    </w:p>
    <w:p w14:paraId="281BDB7F" w14:textId="77777777" w:rsidR="002558B3" w:rsidRPr="00CC00D4" w:rsidRDefault="002558B3">
      <w:pPr>
        <w:pStyle w:val="Paragrafoelenco"/>
        <w:numPr>
          <w:ilvl w:val="0"/>
          <w:numId w:val="185"/>
        </w:numPr>
        <w:autoSpaceDN w:val="0"/>
        <w:ind w:left="709" w:hanging="357"/>
        <w:contextualSpacing/>
        <w:textAlignment w:val="baseline"/>
        <w:rPr>
          <w:rFonts w:cs="Tahoma"/>
          <w:szCs w:val="20"/>
        </w:rPr>
      </w:pPr>
      <w:r w:rsidRPr="00CC00D4">
        <w:rPr>
          <w:rFonts w:cs="Tahoma"/>
          <w:szCs w:val="20"/>
        </w:rPr>
        <w:t>Utili e altri proventi equiparati derivanti da partecipazioni in società di capitali;</w:t>
      </w:r>
    </w:p>
    <w:p w14:paraId="4FC06762" w14:textId="77777777" w:rsidR="002558B3" w:rsidRPr="00CC00D4" w:rsidRDefault="002558B3">
      <w:pPr>
        <w:pStyle w:val="Paragrafoelenco"/>
        <w:numPr>
          <w:ilvl w:val="0"/>
          <w:numId w:val="185"/>
        </w:numPr>
        <w:autoSpaceDN w:val="0"/>
        <w:ind w:left="709"/>
        <w:textAlignment w:val="baseline"/>
        <w:rPr>
          <w:rFonts w:cs="Tahoma"/>
          <w:szCs w:val="20"/>
        </w:rPr>
      </w:pPr>
      <w:r w:rsidRPr="00CC00D4">
        <w:rPr>
          <w:rFonts w:cs="Tahoma"/>
          <w:szCs w:val="20"/>
        </w:rPr>
        <w:t>Titoli atipici, e redditi diversi, nonché coloro che hanno corrisposto somme o valori soggetti a ritenuta alla fonte, ai sensi degli articoli 23, 24, 25, 25-</w:t>
      </w:r>
      <w:r w:rsidRPr="00CC00D4">
        <w:rPr>
          <w:rFonts w:cs="Tahoma"/>
          <w:i/>
          <w:szCs w:val="20"/>
        </w:rPr>
        <w:t>bis</w:t>
      </w:r>
      <w:r w:rsidRPr="00CC00D4">
        <w:rPr>
          <w:rFonts w:cs="Tahoma"/>
          <w:szCs w:val="20"/>
        </w:rPr>
        <w:t>, 25-</w:t>
      </w:r>
      <w:r w:rsidRPr="00CC00D4">
        <w:rPr>
          <w:rFonts w:cs="Tahoma"/>
          <w:i/>
          <w:szCs w:val="20"/>
        </w:rPr>
        <w:t>ter</w:t>
      </w:r>
      <w:r w:rsidRPr="00CC00D4">
        <w:rPr>
          <w:rFonts w:cs="Tahoma"/>
          <w:szCs w:val="20"/>
        </w:rPr>
        <w:t>, 29 del Decreto del Presidente della Repubblica del 29 settembre 1973 numero 600 ed articolo 33, comma 4, del Decreto del Presidente della Repubblica 4 febbraio 1988 numero 42.</w:t>
      </w:r>
    </w:p>
    <w:p w14:paraId="234B090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soggetti in questione sono:</w:t>
      </w:r>
    </w:p>
    <w:p w14:paraId="10A6E129"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Società di capitali (società per azioni, in accomandita per azioni, a responsabilità limitata, cooperative e di mutua assicurazione) residenti nel territorio dello Stato;</w:t>
      </w:r>
    </w:p>
    <w:p w14:paraId="6D18A687"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Enti commerciali equiparati alle società di capitali residenti nel territorio dello Stato;</w:t>
      </w:r>
    </w:p>
    <w:p w14:paraId="65B97191"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Enti non commerciali (enti privati non aventi per oggetto esclusivo o principale l’esercizio di attività commerciali) residenti nel territorio dello Stato;</w:t>
      </w:r>
    </w:p>
    <w:p w14:paraId="1646B081"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associazioni non riconosciute, i consorzi, le aziende speciali e le altre organizzazioni non appartenenti ad altri soggetti;</w:t>
      </w:r>
    </w:p>
    <w:p w14:paraId="30EDFCC3"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società e gli enti di ogni tipo, con o senza personalità giuridica, non residenti nel territorio dello Stato;</w:t>
      </w:r>
    </w:p>
    <w:p w14:paraId="35068BA6"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I Trust;</w:t>
      </w:r>
    </w:p>
    <w:p w14:paraId="57282BBB"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I condomini;</w:t>
      </w:r>
    </w:p>
    <w:p w14:paraId="3B228943"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società di persone (società semplici, in nome collettivo, in accomandita semplice) residenti nel territorio dello Stato;</w:t>
      </w:r>
    </w:p>
    <w:p w14:paraId="36F8B17F"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società di armamento residenti nel territorio dello Stato;</w:t>
      </w:r>
    </w:p>
    <w:p w14:paraId="7DBE2D06"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società di fatto o irregolari residenti nel territorio dello Stato;</w:t>
      </w:r>
    </w:p>
    <w:p w14:paraId="03D241DC"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società o le associazioni senza personalità giuridica costituite fra persone fisiche o per l’esercizio in forma associata di arti e professioni residenti nel territorio dello Stato;</w:t>
      </w:r>
    </w:p>
    <w:p w14:paraId="34354002"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Le aziende coniugali, se l’attività è esercitata in società fra coniugi residenti nel territorio dello Stato;</w:t>
      </w:r>
    </w:p>
    <w:p w14:paraId="79E55135"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t>I gruppi europei d’interesse economico (GEIE);</w:t>
      </w:r>
    </w:p>
    <w:p w14:paraId="6D695F34" w14:textId="77777777" w:rsidR="002558B3" w:rsidRPr="00CC00D4" w:rsidRDefault="002558B3">
      <w:pPr>
        <w:pStyle w:val="Paragrafoelenco"/>
        <w:numPr>
          <w:ilvl w:val="0"/>
          <w:numId w:val="196"/>
        </w:numPr>
        <w:autoSpaceDN w:val="0"/>
        <w:ind w:left="709" w:hanging="357"/>
        <w:contextualSpacing/>
        <w:textAlignment w:val="baseline"/>
        <w:rPr>
          <w:rFonts w:cs="Tahoma"/>
          <w:szCs w:val="20"/>
        </w:rPr>
      </w:pPr>
      <w:r w:rsidRPr="00CC00D4">
        <w:rPr>
          <w:rFonts w:cs="Tahoma"/>
          <w:szCs w:val="20"/>
        </w:rPr>
        <w:lastRenderedPageBreak/>
        <w:t>Le persone fisiche che esercitano arti e professioni;</w:t>
      </w:r>
    </w:p>
    <w:p w14:paraId="7E763EF4" w14:textId="77777777" w:rsidR="002558B3" w:rsidRPr="00CC00D4" w:rsidRDefault="002558B3">
      <w:pPr>
        <w:pStyle w:val="Paragrafoelenco"/>
        <w:numPr>
          <w:ilvl w:val="0"/>
          <w:numId w:val="196"/>
        </w:numPr>
        <w:autoSpaceDN w:val="0"/>
        <w:ind w:left="709"/>
        <w:textAlignment w:val="baseline"/>
        <w:rPr>
          <w:rFonts w:cs="Tahoma"/>
          <w:szCs w:val="20"/>
        </w:rPr>
      </w:pPr>
      <w:r w:rsidRPr="00CC00D4">
        <w:rPr>
          <w:rFonts w:cs="Tahoma"/>
          <w:szCs w:val="20"/>
        </w:rPr>
        <w:t>I curatori fallimentari, i commissari liquidatori e gli eredi che non proseguono l’attività del sostituto d’imposta deceduto.</w:t>
      </w:r>
    </w:p>
    <w:p w14:paraId="195A1A9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Come già previsto per le Certificazioni Uniche anche in merito ai modelli 770 vige l’obbligo di invio in capo ai committenti che nel periodo di competenza hanno corrisposto compensi per prestazioni di lavoro autonomo occasionale, soggetti a ritenuta d’acconto del 20% (articolo 25 Decreto del Presidente della Repubblica del 29 settembre 1973 numero 600).</w:t>
      </w:r>
    </w:p>
    <w:p w14:paraId="30BAE7C0" w14:textId="77777777" w:rsidR="002558B3" w:rsidRPr="00CC00D4" w:rsidRDefault="002558B3" w:rsidP="002558B3">
      <w:pPr>
        <w:pStyle w:val="Standard"/>
        <w:spacing w:after="200" w:line="360" w:lineRule="auto"/>
        <w:jc w:val="both"/>
        <w:rPr>
          <w:rFonts w:ascii="Tahoma" w:hAnsi="Tahoma" w:cs="Tahoma"/>
          <w:kern w:val="0"/>
          <w:sz w:val="20"/>
          <w:szCs w:val="20"/>
        </w:rPr>
      </w:pPr>
    </w:p>
    <w:p w14:paraId="0D5982E0" w14:textId="2FBF673B" w:rsidR="002558B3" w:rsidRPr="00CC00D4" w:rsidRDefault="002558B3" w:rsidP="00F64729">
      <w:pPr>
        <w:pStyle w:val="Titolo3"/>
      </w:pPr>
      <w:bookmarkStart w:id="383" w:name="__RefHeading__4586_1479815270"/>
      <w:bookmarkStart w:id="384" w:name="_Toc92386559"/>
      <w:bookmarkStart w:id="385" w:name="_Toc124266331"/>
      <w:r w:rsidRPr="00CC00D4">
        <w:t>7.2.2 Invio</w:t>
      </w:r>
      <w:bookmarkEnd w:id="383"/>
      <w:bookmarkEnd w:id="384"/>
      <w:bookmarkEnd w:id="385"/>
    </w:p>
    <w:p w14:paraId="3DFE81D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Nel rispetto del termine di scadenza, il modello 770 dev’essere trasmesso in via telematica all’Agenzia Entrate:</w:t>
      </w:r>
    </w:p>
    <w:p w14:paraId="67C83DB1" w14:textId="77777777" w:rsidR="002558B3" w:rsidRPr="00CC00D4" w:rsidRDefault="002558B3">
      <w:pPr>
        <w:pStyle w:val="Paragrafoelenco"/>
        <w:numPr>
          <w:ilvl w:val="0"/>
          <w:numId w:val="181"/>
        </w:numPr>
        <w:autoSpaceDN w:val="0"/>
        <w:ind w:left="709" w:hanging="357"/>
        <w:contextualSpacing/>
        <w:textAlignment w:val="baseline"/>
        <w:rPr>
          <w:rFonts w:cs="Tahoma"/>
          <w:szCs w:val="20"/>
        </w:rPr>
      </w:pPr>
      <w:r w:rsidRPr="00CC00D4">
        <w:rPr>
          <w:rFonts w:cs="Tahoma"/>
          <w:szCs w:val="20"/>
        </w:rPr>
        <w:t>Direttamente dal sostituto d’imposta;</w:t>
      </w:r>
    </w:p>
    <w:p w14:paraId="07F3A3AB" w14:textId="77777777" w:rsidR="002558B3" w:rsidRPr="00CC00D4" w:rsidRDefault="002558B3">
      <w:pPr>
        <w:pStyle w:val="Paragrafoelenco"/>
        <w:numPr>
          <w:ilvl w:val="0"/>
          <w:numId w:val="181"/>
        </w:numPr>
        <w:autoSpaceDN w:val="0"/>
        <w:ind w:left="709" w:hanging="357"/>
        <w:contextualSpacing/>
        <w:textAlignment w:val="baseline"/>
        <w:rPr>
          <w:rFonts w:cs="Tahoma"/>
          <w:szCs w:val="20"/>
        </w:rPr>
      </w:pPr>
      <w:r w:rsidRPr="00CC00D4">
        <w:rPr>
          <w:rFonts w:cs="Tahoma"/>
          <w:szCs w:val="20"/>
        </w:rPr>
        <w:t>Tramite un intermediario abilitato;</w:t>
      </w:r>
    </w:p>
    <w:p w14:paraId="28DA8DF8" w14:textId="77777777" w:rsidR="002558B3" w:rsidRPr="00CC00D4" w:rsidRDefault="002558B3">
      <w:pPr>
        <w:pStyle w:val="Paragrafoelenco"/>
        <w:numPr>
          <w:ilvl w:val="0"/>
          <w:numId w:val="181"/>
        </w:numPr>
        <w:autoSpaceDN w:val="0"/>
        <w:ind w:left="709" w:hanging="357"/>
        <w:contextualSpacing/>
        <w:textAlignment w:val="baseline"/>
        <w:rPr>
          <w:rFonts w:cs="Tahoma"/>
          <w:szCs w:val="20"/>
        </w:rPr>
      </w:pPr>
      <w:r w:rsidRPr="00CC00D4">
        <w:rPr>
          <w:rFonts w:cs="Tahoma"/>
          <w:szCs w:val="20"/>
        </w:rPr>
        <w:t>Tramite altri soggetti incaricati (esclusivamente per le Amministrazioni dello Stato);</w:t>
      </w:r>
    </w:p>
    <w:p w14:paraId="63853B6F" w14:textId="77777777" w:rsidR="002558B3" w:rsidRPr="00CC00D4" w:rsidRDefault="002558B3">
      <w:pPr>
        <w:pStyle w:val="Paragrafoelenco"/>
        <w:numPr>
          <w:ilvl w:val="0"/>
          <w:numId w:val="181"/>
        </w:numPr>
        <w:autoSpaceDN w:val="0"/>
        <w:ind w:left="709"/>
        <w:textAlignment w:val="baseline"/>
        <w:rPr>
          <w:rFonts w:cs="Tahoma"/>
          <w:szCs w:val="20"/>
        </w:rPr>
      </w:pPr>
      <w:r w:rsidRPr="00CC00D4">
        <w:rPr>
          <w:rFonts w:cs="Tahoma"/>
          <w:szCs w:val="20"/>
        </w:rPr>
        <w:t>Tramite società appartenenti al gruppo.</w:t>
      </w:r>
    </w:p>
    <w:p w14:paraId="0945F11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Ai fini dell’invio fa fede il giorno in cui si conclude la ricezione dei dati da parte dell’Agenzia Entrate.</w:t>
      </w:r>
    </w:p>
    <w:p w14:paraId="5B3E91B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prova della presentazione del modello è data dalla comunicazione attestante l’avvenuto ricevimento dei dati, rilasciata in via telematica.</w:t>
      </w:r>
    </w:p>
    <w:p w14:paraId="0A68E037" w14:textId="77777777" w:rsidR="002558B3" w:rsidRPr="00CC00D4" w:rsidRDefault="002558B3" w:rsidP="002558B3">
      <w:pPr>
        <w:pStyle w:val="Standard"/>
        <w:spacing w:after="200" w:line="360" w:lineRule="auto"/>
        <w:jc w:val="both"/>
        <w:rPr>
          <w:rFonts w:ascii="Tahoma" w:hAnsi="Tahoma" w:cs="Tahoma"/>
          <w:kern w:val="0"/>
          <w:sz w:val="20"/>
          <w:szCs w:val="20"/>
        </w:rPr>
      </w:pPr>
    </w:p>
    <w:p w14:paraId="746E6370" w14:textId="29684CD6" w:rsidR="002558B3" w:rsidRPr="00CC00D4" w:rsidRDefault="002558B3" w:rsidP="00F64729">
      <w:pPr>
        <w:pStyle w:val="Titolo3"/>
      </w:pPr>
      <w:bookmarkStart w:id="386" w:name="__RefHeading__4588_1479815270"/>
      <w:bookmarkStart w:id="387" w:name="_Toc92386560"/>
      <w:bookmarkStart w:id="388" w:name="_Toc124266332"/>
      <w:r w:rsidRPr="00CC00D4">
        <w:t>7.2.3 Composizione</w:t>
      </w:r>
      <w:bookmarkEnd w:id="386"/>
      <w:bookmarkEnd w:id="387"/>
      <w:bookmarkEnd w:id="388"/>
    </w:p>
    <w:p w14:paraId="49E9A82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Oltre al frontespizio, le sezioni di cui si compone il modello 770 sono rappresentate, tra gli altri, dai seguenti quadri:</w:t>
      </w:r>
    </w:p>
    <w:p w14:paraId="23E428A6" w14:textId="77777777" w:rsidR="002558B3" w:rsidRPr="00CC00D4" w:rsidRDefault="002558B3">
      <w:pPr>
        <w:pStyle w:val="Paragrafoelenco"/>
        <w:numPr>
          <w:ilvl w:val="0"/>
          <w:numId w:val="182"/>
        </w:numPr>
        <w:autoSpaceDN w:val="0"/>
        <w:ind w:left="709" w:hanging="357"/>
        <w:contextualSpacing/>
        <w:textAlignment w:val="baseline"/>
        <w:rPr>
          <w:rFonts w:cs="Tahoma"/>
          <w:szCs w:val="20"/>
        </w:rPr>
      </w:pPr>
      <w:r w:rsidRPr="00CC00D4">
        <w:rPr>
          <w:rFonts w:cs="Tahoma"/>
          <w:szCs w:val="20"/>
        </w:rPr>
        <w:t>Quadro ST relativo alle ritenute operate dal sostituto d’imposta, oltre alle trattenute per assistenza fiscale;</w:t>
      </w:r>
    </w:p>
    <w:p w14:paraId="02F82B4B" w14:textId="77777777" w:rsidR="002558B3" w:rsidRPr="00CC00D4" w:rsidRDefault="002558B3">
      <w:pPr>
        <w:pStyle w:val="Paragrafoelenco"/>
        <w:numPr>
          <w:ilvl w:val="0"/>
          <w:numId w:val="182"/>
        </w:numPr>
        <w:autoSpaceDN w:val="0"/>
        <w:ind w:left="709" w:hanging="357"/>
        <w:contextualSpacing/>
        <w:textAlignment w:val="baseline"/>
        <w:rPr>
          <w:rFonts w:cs="Tahoma"/>
          <w:szCs w:val="20"/>
        </w:rPr>
      </w:pPr>
      <w:r w:rsidRPr="00CC00D4">
        <w:rPr>
          <w:rFonts w:cs="Tahoma"/>
          <w:szCs w:val="20"/>
        </w:rPr>
        <w:t>Quadro SV riguardante le trattenute per addizionali comunali e per assistenza fiscale;</w:t>
      </w:r>
    </w:p>
    <w:p w14:paraId="05A19E90" w14:textId="77777777" w:rsidR="002558B3" w:rsidRPr="00CC00D4" w:rsidRDefault="002558B3">
      <w:pPr>
        <w:pStyle w:val="Paragrafoelenco"/>
        <w:numPr>
          <w:ilvl w:val="0"/>
          <w:numId w:val="182"/>
        </w:numPr>
        <w:autoSpaceDN w:val="0"/>
        <w:ind w:left="709" w:hanging="357"/>
        <w:contextualSpacing/>
        <w:textAlignment w:val="baseline"/>
        <w:rPr>
          <w:rFonts w:cs="Tahoma"/>
          <w:szCs w:val="20"/>
        </w:rPr>
      </w:pPr>
      <w:r w:rsidRPr="00CC00D4">
        <w:rPr>
          <w:rFonts w:cs="Tahoma"/>
          <w:szCs w:val="20"/>
        </w:rPr>
        <w:t>Quadro SX, con il riepilogo dei crediti e delle compensazioni effettuate dal sostituto d’imposta;</w:t>
      </w:r>
    </w:p>
    <w:p w14:paraId="244CA447" w14:textId="77777777" w:rsidR="002558B3" w:rsidRPr="00CC00D4" w:rsidRDefault="002558B3">
      <w:pPr>
        <w:pStyle w:val="Paragrafoelenco"/>
        <w:numPr>
          <w:ilvl w:val="0"/>
          <w:numId w:val="182"/>
        </w:numPr>
        <w:autoSpaceDN w:val="0"/>
        <w:ind w:left="709"/>
        <w:textAlignment w:val="baseline"/>
        <w:rPr>
          <w:rFonts w:cs="Tahoma"/>
          <w:szCs w:val="20"/>
        </w:rPr>
      </w:pPr>
      <w:r w:rsidRPr="00CC00D4">
        <w:rPr>
          <w:rFonts w:cs="Tahoma"/>
          <w:szCs w:val="20"/>
        </w:rPr>
        <w:t>Quadro SY, riguardante le somme liquidate a seguito di procedure di pignoramento presso terzi.</w:t>
      </w:r>
    </w:p>
    <w:p w14:paraId="2B46F779" w14:textId="77777777" w:rsidR="002558B3" w:rsidRPr="00CC00D4" w:rsidRDefault="002558B3" w:rsidP="002558B3">
      <w:pPr>
        <w:pStyle w:val="Standard"/>
        <w:spacing w:after="200" w:line="360" w:lineRule="auto"/>
        <w:jc w:val="both"/>
        <w:rPr>
          <w:rFonts w:ascii="Tahoma" w:hAnsi="Tahoma" w:cs="Tahoma"/>
          <w:i/>
          <w:iCs/>
          <w:kern w:val="0"/>
          <w:sz w:val="20"/>
          <w:szCs w:val="20"/>
          <w:u w:val="single"/>
        </w:rPr>
      </w:pPr>
    </w:p>
    <w:p w14:paraId="5C90B6AF" w14:textId="613695BB" w:rsidR="002558B3" w:rsidRPr="00CC00D4" w:rsidRDefault="009E771B" w:rsidP="00F64729">
      <w:pPr>
        <w:pStyle w:val="Titolo3"/>
        <w:rPr>
          <w:u w:val="none"/>
        </w:rPr>
      </w:pPr>
      <w:bookmarkStart w:id="389" w:name="__RefHeading__4590_1479815270"/>
      <w:bookmarkStart w:id="390" w:name="_Toc92386561"/>
      <w:r w:rsidRPr="00CC00D4">
        <w:br w:type="page"/>
      </w:r>
      <w:bookmarkStart w:id="391" w:name="_Toc124266333"/>
      <w:r w:rsidR="002558B3" w:rsidRPr="00CC00D4">
        <w:lastRenderedPageBreak/>
        <w:t>7.2.4 Frontespizio</w:t>
      </w:r>
      <w:bookmarkEnd w:id="389"/>
      <w:bookmarkEnd w:id="390"/>
      <w:bookmarkEnd w:id="391"/>
    </w:p>
    <w:p w14:paraId="36BD31F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Il frontespizio ospita:</w:t>
      </w:r>
    </w:p>
    <w:p w14:paraId="13331040"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Il tipo di dichiarazione, con la possibilità di indicare se trattasi di “dichiarazione correttiva nei termini”, “dichiarazione integrativa” oltre al protocollo della dichiarazione da correggere o integrare ed il codice relativo agli eventi eccezionali;</w:t>
      </w:r>
    </w:p>
    <w:p w14:paraId="29032538"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Dati identificativi del sostituto;</w:t>
      </w:r>
    </w:p>
    <w:p w14:paraId="78B79122"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Dati relativi al rappresentante firmatario del modello;</w:t>
      </w:r>
    </w:p>
    <w:p w14:paraId="3547C39B"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Il riquadro “Redazione della dichiarazione” con le sezioni “Quadri compilati e ritenute operate” e “Gestione Separata” per chi vuole avvalersi della possibilità di trasmettere i dati del 770 in più flussi;</w:t>
      </w:r>
    </w:p>
    <w:p w14:paraId="1D27EDB3"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Firma del dichiarante ovvero di colui che ha la rappresentanza legale, negoziale o di fatto;</w:t>
      </w:r>
    </w:p>
    <w:p w14:paraId="1FD69E15" w14:textId="77777777" w:rsidR="002558B3" w:rsidRPr="00CC00D4" w:rsidRDefault="002558B3">
      <w:pPr>
        <w:pStyle w:val="Paragrafoelenco"/>
        <w:numPr>
          <w:ilvl w:val="0"/>
          <w:numId w:val="180"/>
        </w:numPr>
        <w:autoSpaceDN w:val="0"/>
        <w:ind w:left="709" w:hanging="357"/>
        <w:contextualSpacing/>
        <w:textAlignment w:val="baseline"/>
        <w:rPr>
          <w:rFonts w:cs="Tahoma"/>
          <w:szCs w:val="20"/>
        </w:rPr>
      </w:pPr>
      <w:r w:rsidRPr="00CC00D4">
        <w:rPr>
          <w:rFonts w:cs="Tahoma"/>
          <w:iCs/>
          <w:szCs w:val="20"/>
        </w:rPr>
        <w:t>Impegno alla presentazione telematica da compilarsi a cura dell’incaricato (società del gruppo o intermediario) che trasmette la dichiarazione;</w:t>
      </w:r>
    </w:p>
    <w:p w14:paraId="077B4BFF" w14:textId="77777777" w:rsidR="002558B3" w:rsidRPr="00CC00D4" w:rsidRDefault="002558B3">
      <w:pPr>
        <w:pStyle w:val="Paragrafoelenco"/>
        <w:numPr>
          <w:ilvl w:val="0"/>
          <w:numId w:val="180"/>
        </w:numPr>
        <w:autoSpaceDN w:val="0"/>
        <w:ind w:left="709"/>
        <w:textAlignment w:val="baseline"/>
        <w:rPr>
          <w:rFonts w:cs="Tahoma"/>
          <w:szCs w:val="20"/>
        </w:rPr>
      </w:pPr>
      <w:r w:rsidRPr="00CC00D4">
        <w:rPr>
          <w:rFonts w:cs="Tahoma"/>
          <w:iCs/>
          <w:szCs w:val="20"/>
        </w:rPr>
        <w:t>Visto di conformità.</w:t>
      </w:r>
    </w:p>
    <w:p w14:paraId="201F2A3D" w14:textId="77777777" w:rsidR="002558B3" w:rsidRPr="00CC00D4" w:rsidRDefault="002558B3" w:rsidP="002558B3">
      <w:pPr>
        <w:pStyle w:val="Standard"/>
        <w:spacing w:after="200" w:line="360" w:lineRule="auto"/>
        <w:jc w:val="both"/>
        <w:rPr>
          <w:rFonts w:ascii="Tahoma" w:hAnsi="Tahoma" w:cs="Tahoma"/>
          <w:iCs/>
          <w:kern w:val="0"/>
          <w:sz w:val="20"/>
          <w:szCs w:val="20"/>
        </w:rPr>
      </w:pPr>
    </w:p>
    <w:p w14:paraId="66A42D44" w14:textId="39698268" w:rsidR="002558B3" w:rsidRPr="00CC00D4" w:rsidRDefault="002558B3" w:rsidP="00F64729">
      <w:pPr>
        <w:pStyle w:val="Titolo3"/>
        <w:rPr>
          <w:u w:val="none"/>
        </w:rPr>
      </w:pPr>
      <w:bookmarkStart w:id="392" w:name="__RefHeading__4592_1479815270"/>
      <w:bookmarkStart w:id="393" w:name="_Toc92386562"/>
      <w:bookmarkStart w:id="394" w:name="_Toc124266334"/>
      <w:r w:rsidRPr="00CC00D4">
        <w:t>7.2.5 Quadro ST</w:t>
      </w:r>
      <w:bookmarkEnd w:id="392"/>
      <w:bookmarkEnd w:id="393"/>
      <w:bookmarkEnd w:id="394"/>
    </w:p>
    <w:p w14:paraId="43697201" w14:textId="7C4A88C3"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iCs/>
          <w:kern w:val="0"/>
          <w:sz w:val="20"/>
          <w:szCs w:val="20"/>
        </w:rPr>
        <w:t>Il quadro ST, composto da quattro sezioni, ospita le ritenute operate e versate sui redditi erogati nel periodo di competenza del 770, ivi comprese (istruzioni ADE 770/2021) le “</w:t>
      </w:r>
      <w:r w:rsidRPr="00CC00D4">
        <w:rPr>
          <w:rFonts w:ascii="Tahoma" w:hAnsi="Tahoma" w:cs="Tahoma"/>
          <w:i/>
          <w:kern w:val="0"/>
          <w:sz w:val="20"/>
          <w:szCs w:val="20"/>
        </w:rPr>
        <w:t>ritenute operate ai sensi degli artt. 23 e 24 del D.P.R. n. 600 del 1973, sulle somme e valori corrisposti entro il 12 gennaio 202</w:t>
      </w:r>
      <w:r w:rsidR="009C11E3" w:rsidRPr="00CC00D4">
        <w:rPr>
          <w:rFonts w:ascii="Tahoma" w:hAnsi="Tahoma" w:cs="Tahoma"/>
          <w:i/>
          <w:kern w:val="0"/>
          <w:sz w:val="20"/>
          <w:szCs w:val="20"/>
        </w:rPr>
        <w:t>2</w:t>
      </w:r>
      <w:r w:rsidRPr="00CC00D4">
        <w:rPr>
          <w:rFonts w:ascii="Tahoma" w:hAnsi="Tahoma" w:cs="Tahoma"/>
          <w:i/>
          <w:kern w:val="0"/>
          <w:sz w:val="20"/>
          <w:szCs w:val="20"/>
        </w:rPr>
        <w:t>, se riferiti al 202</w:t>
      </w:r>
      <w:r w:rsidR="009C11E3" w:rsidRPr="00CC00D4">
        <w:rPr>
          <w:rFonts w:ascii="Tahoma" w:hAnsi="Tahoma" w:cs="Tahoma"/>
          <w:i/>
          <w:kern w:val="0"/>
          <w:sz w:val="20"/>
          <w:szCs w:val="20"/>
        </w:rPr>
        <w:t>1</w:t>
      </w:r>
      <w:r w:rsidRPr="00CC00D4">
        <w:rPr>
          <w:rFonts w:ascii="Tahoma" w:hAnsi="Tahoma" w:cs="Tahoma"/>
          <w:i/>
          <w:kern w:val="0"/>
          <w:sz w:val="20"/>
          <w:szCs w:val="20"/>
        </w:rPr>
        <w:t>, nonché le ritenute operate a seguito di conguaglio di fine anno effettuato nei primi due mesi del 202</w:t>
      </w:r>
      <w:r w:rsidR="009C11E3" w:rsidRPr="00CC00D4">
        <w:rPr>
          <w:rFonts w:ascii="Tahoma" w:hAnsi="Tahoma" w:cs="Tahoma"/>
          <w:i/>
          <w:kern w:val="0"/>
          <w:sz w:val="20"/>
          <w:szCs w:val="20"/>
        </w:rPr>
        <w:t>2</w:t>
      </w:r>
      <w:r w:rsidRPr="00CC00D4">
        <w:rPr>
          <w:rFonts w:ascii="Tahoma" w:hAnsi="Tahoma" w:cs="Tahoma"/>
          <w:iCs/>
          <w:kern w:val="0"/>
          <w:sz w:val="20"/>
          <w:szCs w:val="20"/>
        </w:rPr>
        <w:t>”.</w:t>
      </w:r>
    </w:p>
    <w:p w14:paraId="3F47643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In particolare, la prima sezione dev’essere utilizzata per indicare i “</w:t>
      </w:r>
      <w:r w:rsidRPr="00CC00D4">
        <w:rPr>
          <w:rFonts w:ascii="Tahoma" w:hAnsi="Tahoma" w:cs="Tahoma"/>
          <w:i/>
          <w:iCs/>
          <w:kern w:val="0"/>
          <w:sz w:val="20"/>
          <w:szCs w:val="20"/>
        </w:rPr>
        <w:t>dati relativi alle ritenute alla fonte operate e per assistenza fiscale effettuata</w:t>
      </w:r>
      <w:r w:rsidRPr="00CC00D4">
        <w:rPr>
          <w:rFonts w:ascii="Tahoma" w:hAnsi="Tahoma" w:cs="Tahoma"/>
          <w:kern w:val="0"/>
          <w:sz w:val="20"/>
          <w:szCs w:val="20"/>
        </w:rPr>
        <w:t>” oltre ai versamenti relativi a ritenute ed imposte sostitutive.</w:t>
      </w:r>
    </w:p>
    <w:p w14:paraId="30DC28E9"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seconda sezione dev’essere utilizzata per riportare i dati relativi alle “</w:t>
      </w:r>
      <w:r w:rsidRPr="00CC00D4">
        <w:rPr>
          <w:rFonts w:ascii="Tahoma" w:hAnsi="Tahoma" w:cs="Tahoma"/>
          <w:i/>
          <w:iCs/>
          <w:kern w:val="0"/>
          <w:sz w:val="20"/>
          <w:szCs w:val="20"/>
        </w:rPr>
        <w:t>trattenute di addizionale regionale all’IRPEF comprese quelle effettuate in sede di assistenza fiscale, nonché per esporre tutti i relativi versamenti</w:t>
      </w:r>
      <w:r w:rsidRPr="00CC00D4">
        <w:rPr>
          <w:rFonts w:ascii="Tahoma" w:hAnsi="Tahoma" w:cs="Tahoma"/>
          <w:kern w:val="0"/>
          <w:sz w:val="20"/>
          <w:szCs w:val="20"/>
        </w:rPr>
        <w:t>”.</w:t>
      </w:r>
    </w:p>
    <w:p w14:paraId="091A3C7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La terza e quarta sezione, al contrario, ospitano “</w:t>
      </w:r>
      <w:r w:rsidRPr="00CC00D4">
        <w:rPr>
          <w:rFonts w:ascii="Tahoma" w:hAnsi="Tahoma" w:cs="Tahoma"/>
          <w:i/>
          <w:iCs/>
          <w:kern w:val="0"/>
          <w:sz w:val="20"/>
          <w:szCs w:val="20"/>
        </w:rPr>
        <w:t>le imposte operate sui proventi generati da partecipazione ad OICR PIR compliant italiani o stabiliti in uno Stato UE o SEE e da Polizza PIR compliant, riscattate prima del soddisfacimento del minimum holding period</w:t>
      </w:r>
      <w:r w:rsidRPr="00CC00D4">
        <w:rPr>
          <w:rFonts w:ascii="Tahoma" w:hAnsi="Tahoma" w:cs="Tahoma"/>
          <w:kern w:val="0"/>
          <w:sz w:val="20"/>
          <w:szCs w:val="20"/>
        </w:rPr>
        <w:t>”.</w:t>
      </w:r>
    </w:p>
    <w:p w14:paraId="4E8DDE65" w14:textId="77777777" w:rsidR="002558B3" w:rsidRPr="00CC00D4" w:rsidRDefault="002558B3" w:rsidP="002558B3">
      <w:pPr>
        <w:pStyle w:val="Standard"/>
        <w:spacing w:after="200" w:line="360" w:lineRule="auto"/>
        <w:jc w:val="both"/>
        <w:rPr>
          <w:rFonts w:ascii="Tahoma" w:hAnsi="Tahoma" w:cs="Tahoma"/>
          <w:kern w:val="0"/>
          <w:sz w:val="20"/>
          <w:szCs w:val="20"/>
        </w:rPr>
      </w:pPr>
    </w:p>
    <w:p w14:paraId="3399A1A2" w14:textId="4B32C1E7" w:rsidR="002558B3" w:rsidRPr="00CC00D4" w:rsidRDefault="009E771B" w:rsidP="00F64729">
      <w:pPr>
        <w:pStyle w:val="Titolo3"/>
      </w:pPr>
      <w:bookmarkStart w:id="395" w:name="__RefHeading__4594_1479815270"/>
      <w:bookmarkStart w:id="396" w:name="_Toc92386563"/>
      <w:r w:rsidRPr="00CC00D4">
        <w:br w:type="page"/>
      </w:r>
      <w:bookmarkStart w:id="397" w:name="_Toc124266335"/>
      <w:r w:rsidR="002558B3" w:rsidRPr="00CC00D4">
        <w:lastRenderedPageBreak/>
        <w:t>7.2.6 Quadro SV</w:t>
      </w:r>
      <w:bookmarkEnd w:id="395"/>
      <w:bookmarkEnd w:id="396"/>
      <w:bookmarkEnd w:id="397"/>
    </w:p>
    <w:p w14:paraId="27DA8EA2" w14:textId="543AC3FC"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Quadro SV interessa (istruzioni 770/202</w:t>
      </w:r>
      <w:r w:rsidR="009C11E3" w:rsidRPr="00CC00D4">
        <w:rPr>
          <w:rFonts w:ascii="Tahoma" w:hAnsi="Tahoma" w:cs="Tahoma"/>
          <w:kern w:val="0"/>
          <w:sz w:val="20"/>
          <w:szCs w:val="20"/>
        </w:rPr>
        <w:t>2</w:t>
      </w:r>
      <w:r w:rsidRPr="00CC00D4">
        <w:rPr>
          <w:rFonts w:ascii="Tahoma" w:hAnsi="Tahoma" w:cs="Tahoma"/>
          <w:kern w:val="0"/>
          <w:sz w:val="20"/>
          <w:szCs w:val="20"/>
        </w:rPr>
        <w:t>):</w:t>
      </w:r>
    </w:p>
    <w:p w14:paraId="069E9AF9" w14:textId="17D482FC" w:rsidR="002558B3" w:rsidRPr="00CC00D4" w:rsidRDefault="002558B3">
      <w:pPr>
        <w:pStyle w:val="Paragrafoelenco"/>
        <w:numPr>
          <w:ilvl w:val="0"/>
          <w:numId w:val="177"/>
        </w:numPr>
        <w:autoSpaceDN w:val="0"/>
        <w:ind w:left="709" w:hanging="357"/>
        <w:contextualSpacing/>
        <w:textAlignment w:val="baseline"/>
        <w:rPr>
          <w:rFonts w:cs="Tahoma"/>
          <w:szCs w:val="20"/>
        </w:rPr>
      </w:pPr>
      <w:r w:rsidRPr="00CC00D4">
        <w:rPr>
          <w:rFonts w:cs="Tahoma"/>
          <w:szCs w:val="20"/>
        </w:rPr>
        <w:t>Le trattenute ed i relativi versamenti delle addizionali comunali all’IRPEF “</w:t>
      </w:r>
      <w:r w:rsidRPr="00CC00D4">
        <w:rPr>
          <w:rFonts w:cs="Tahoma"/>
          <w:i/>
          <w:iCs/>
          <w:szCs w:val="20"/>
        </w:rPr>
        <w:t>effettuati in forma rateizzata nell’ anno 202</w:t>
      </w:r>
      <w:r w:rsidR="009C11E3" w:rsidRPr="00CC00D4">
        <w:rPr>
          <w:rFonts w:cs="Tahoma"/>
          <w:i/>
          <w:iCs/>
          <w:szCs w:val="20"/>
        </w:rPr>
        <w:t>1</w:t>
      </w:r>
      <w:r w:rsidRPr="00CC00D4">
        <w:rPr>
          <w:rFonts w:cs="Tahoma"/>
          <w:i/>
          <w:iCs/>
          <w:szCs w:val="20"/>
        </w:rPr>
        <w:t xml:space="preserve"> con riferimento all’anno 20</w:t>
      </w:r>
      <w:r w:rsidR="009C11E3" w:rsidRPr="00CC00D4">
        <w:rPr>
          <w:rFonts w:cs="Tahoma"/>
          <w:i/>
          <w:iCs/>
          <w:szCs w:val="20"/>
        </w:rPr>
        <w:t>20</w:t>
      </w:r>
      <w:r w:rsidRPr="00CC00D4">
        <w:rPr>
          <w:rFonts w:cs="Tahoma"/>
          <w:i/>
          <w:iCs/>
          <w:szCs w:val="20"/>
        </w:rPr>
        <w:t>, nonché le trattenute e i relativi versamenti dell’acconto delle addizionali comunali all’IRPEF effettuati in forma rateizzata nell’anno 202</w:t>
      </w:r>
      <w:r w:rsidR="009C11E3" w:rsidRPr="00CC00D4">
        <w:rPr>
          <w:rFonts w:cs="Tahoma"/>
          <w:i/>
          <w:iCs/>
          <w:szCs w:val="20"/>
        </w:rPr>
        <w:t>1</w:t>
      </w:r>
      <w:r w:rsidRPr="00CC00D4">
        <w:rPr>
          <w:rFonts w:cs="Tahoma"/>
          <w:i/>
          <w:iCs/>
          <w:szCs w:val="20"/>
        </w:rPr>
        <w:t xml:space="preserve"> con riferimento all’anno 202</w:t>
      </w:r>
      <w:r w:rsidR="009C11E3" w:rsidRPr="00CC00D4">
        <w:rPr>
          <w:rFonts w:cs="Tahoma"/>
          <w:i/>
          <w:iCs/>
          <w:szCs w:val="20"/>
        </w:rPr>
        <w:t>1</w:t>
      </w:r>
      <w:r w:rsidRPr="00CC00D4">
        <w:rPr>
          <w:rFonts w:cs="Tahoma"/>
          <w:szCs w:val="20"/>
        </w:rPr>
        <w:t>”;</w:t>
      </w:r>
    </w:p>
    <w:p w14:paraId="0DABE5D4" w14:textId="162DF353" w:rsidR="002558B3" w:rsidRPr="00CC00D4" w:rsidRDefault="002558B3">
      <w:pPr>
        <w:pStyle w:val="Paragrafoelenco"/>
        <w:numPr>
          <w:ilvl w:val="0"/>
          <w:numId w:val="177"/>
        </w:numPr>
        <w:autoSpaceDN w:val="0"/>
        <w:ind w:left="709"/>
        <w:textAlignment w:val="baseline"/>
        <w:rPr>
          <w:rFonts w:cs="Tahoma"/>
          <w:szCs w:val="20"/>
        </w:rPr>
      </w:pPr>
      <w:r w:rsidRPr="00CC00D4">
        <w:rPr>
          <w:rFonts w:cs="Tahoma"/>
          <w:szCs w:val="20"/>
        </w:rPr>
        <w:t>Le trattenute effettuate a titolo di addizionale comunale all’IRPEF a seguito di assistenza fiscale “</w:t>
      </w:r>
      <w:r w:rsidRPr="00CC00D4">
        <w:rPr>
          <w:rFonts w:cs="Tahoma"/>
          <w:i/>
          <w:iCs/>
          <w:szCs w:val="20"/>
        </w:rPr>
        <w:t>prestata nel 202</w:t>
      </w:r>
      <w:r w:rsidR="009C11E3" w:rsidRPr="00CC00D4">
        <w:rPr>
          <w:rFonts w:cs="Tahoma"/>
          <w:i/>
          <w:iCs/>
          <w:szCs w:val="20"/>
        </w:rPr>
        <w:t>1</w:t>
      </w:r>
      <w:r w:rsidRPr="00CC00D4">
        <w:rPr>
          <w:rFonts w:cs="Tahoma"/>
          <w:i/>
          <w:iCs/>
          <w:szCs w:val="20"/>
        </w:rPr>
        <w:t xml:space="preserve"> nonché ai relativi versamenti</w:t>
      </w:r>
      <w:r w:rsidRPr="00CC00D4">
        <w:rPr>
          <w:rFonts w:cs="Tahoma"/>
          <w:szCs w:val="20"/>
        </w:rPr>
        <w:t>”.</w:t>
      </w:r>
    </w:p>
    <w:p w14:paraId="169C9F4E" w14:textId="77777777" w:rsidR="002558B3" w:rsidRPr="00CC00D4" w:rsidRDefault="002558B3" w:rsidP="002558B3">
      <w:pPr>
        <w:pStyle w:val="Standard"/>
        <w:spacing w:after="200" w:line="360" w:lineRule="auto"/>
        <w:jc w:val="both"/>
        <w:rPr>
          <w:rFonts w:ascii="Tahoma" w:hAnsi="Tahoma" w:cs="Tahoma"/>
          <w:kern w:val="0"/>
          <w:sz w:val="20"/>
          <w:szCs w:val="20"/>
        </w:rPr>
      </w:pPr>
    </w:p>
    <w:p w14:paraId="11982A09" w14:textId="51CC5892" w:rsidR="002558B3" w:rsidRPr="00CC00D4" w:rsidRDefault="002558B3" w:rsidP="00F64729">
      <w:pPr>
        <w:pStyle w:val="Titolo3"/>
      </w:pPr>
      <w:bookmarkStart w:id="398" w:name="__RefHeading__4596_1479815270"/>
      <w:bookmarkStart w:id="399" w:name="_Toc92386564"/>
      <w:bookmarkStart w:id="400" w:name="_Toc124266336"/>
      <w:r w:rsidRPr="00CC00D4">
        <w:t>7.2.7 Quadro SX</w:t>
      </w:r>
      <w:bookmarkEnd w:id="398"/>
      <w:bookmarkEnd w:id="399"/>
      <w:bookmarkEnd w:id="400"/>
    </w:p>
    <w:p w14:paraId="159165AD" w14:textId="51105E60"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All’interno del Quadro SX dovrà essere riportato il riepilogo delle compensazioni effettuate in sede di versamento con modello F24, relativamente a (sempre istruzioni 770/202</w:t>
      </w:r>
      <w:r w:rsidR="009C11E3" w:rsidRPr="00CC00D4">
        <w:rPr>
          <w:rFonts w:ascii="Tahoma" w:hAnsi="Tahoma" w:cs="Tahoma"/>
          <w:kern w:val="0"/>
          <w:sz w:val="20"/>
          <w:szCs w:val="20"/>
        </w:rPr>
        <w:t>2</w:t>
      </w:r>
      <w:r w:rsidRPr="00CC00D4">
        <w:rPr>
          <w:rFonts w:ascii="Tahoma" w:hAnsi="Tahoma" w:cs="Tahoma"/>
          <w:kern w:val="0"/>
          <w:sz w:val="20"/>
          <w:szCs w:val="20"/>
        </w:rPr>
        <w:t>):</w:t>
      </w:r>
    </w:p>
    <w:p w14:paraId="05F65F7D" w14:textId="46952213" w:rsidR="002558B3" w:rsidRPr="00CC00D4" w:rsidRDefault="002558B3">
      <w:pPr>
        <w:pStyle w:val="Paragrafoelenco"/>
        <w:numPr>
          <w:ilvl w:val="0"/>
          <w:numId w:val="178"/>
        </w:numPr>
        <w:autoSpaceDN w:val="0"/>
        <w:ind w:left="709" w:hanging="357"/>
        <w:contextualSpacing/>
        <w:textAlignment w:val="baseline"/>
        <w:rPr>
          <w:rFonts w:cs="Tahoma"/>
          <w:szCs w:val="20"/>
        </w:rPr>
      </w:pPr>
      <w:r w:rsidRPr="00CC00D4">
        <w:rPr>
          <w:rFonts w:cs="Tahoma"/>
          <w:szCs w:val="20"/>
        </w:rPr>
        <w:t>Credito 20</w:t>
      </w:r>
      <w:r w:rsidR="009C11E3" w:rsidRPr="00CC00D4">
        <w:rPr>
          <w:rFonts w:cs="Tahoma"/>
          <w:szCs w:val="20"/>
        </w:rPr>
        <w:t>20</w:t>
      </w:r>
      <w:r w:rsidRPr="00CC00D4">
        <w:rPr>
          <w:rFonts w:cs="Tahoma"/>
          <w:szCs w:val="20"/>
        </w:rPr>
        <w:t xml:space="preserve"> derivante dalla precedente dichiarazione 770/202</w:t>
      </w:r>
      <w:r w:rsidR="009C11E3" w:rsidRPr="00CC00D4">
        <w:rPr>
          <w:rFonts w:cs="Tahoma"/>
          <w:szCs w:val="20"/>
        </w:rPr>
        <w:t>1</w:t>
      </w:r>
      <w:r w:rsidRPr="00CC00D4">
        <w:rPr>
          <w:rFonts w:cs="Tahoma"/>
          <w:szCs w:val="20"/>
        </w:rPr>
        <w:t xml:space="preserve"> e suo utilizzo in compensazione esterna;</w:t>
      </w:r>
    </w:p>
    <w:p w14:paraId="57B9F661" w14:textId="280A603B" w:rsidR="002558B3" w:rsidRPr="00CC00D4" w:rsidRDefault="002558B3">
      <w:pPr>
        <w:pStyle w:val="Paragrafoelenco"/>
        <w:numPr>
          <w:ilvl w:val="0"/>
          <w:numId w:val="178"/>
        </w:numPr>
        <w:autoSpaceDN w:val="0"/>
        <w:ind w:left="709"/>
        <w:textAlignment w:val="baseline"/>
        <w:rPr>
          <w:rFonts w:cs="Tahoma"/>
          <w:szCs w:val="20"/>
        </w:rPr>
      </w:pPr>
      <w:r w:rsidRPr="00CC00D4">
        <w:rPr>
          <w:rFonts w:cs="Tahoma"/>
          <w:szCs w:val="20"/>
        </w:rPr>
        <w:t>Crediti sorti nel corso del periodo d’imposta 202</w:t>
      </w:r>
      <w:r w:rsidR="009C11E3" w:rsidRPr="00CC00D4">
        <w:rPr>
          <w:rFonts w:cs="Tahoma"/>
          <w:szCs w:val="20"/>
        </w:rPr>
        <w:t>1</w:t>
      </w:r>
      <w:r w:rsidRPr="00CC00D4">
        <w:rPr>
          <w:rFonts w:cs="Tahoma"/>
          <w:szCs w:val="20"/>
        </w:rPr>
        <w:t xml:space="preserve"> “</w:t>
      </w:r>
      <w:r w:rsidRPr="00CC00D4">
        <w:rPr>
          <w:rFonts w:cs="Tahoma"/>
          <w:i/>
          <w:iCs/>
          <w:szCs w:val="20"/>
        </w:rPr>
        <w:t>e loro utilizzo in compensazione esterna tramite F24 ai sensi del D.Lgs. n. 241/1997, come previsto dal comma 1, art. 15 del D.Lgs. n. 175 del 2014, tenuto conto degli eventuali crediti risultanti dal quadro DI</w:t>
      </w:r>
      <w:r w:rsidRPr="00CC00D4">
        <w:rPr>
          <w:rFonts w:cs="Tahoma"/>
          <w:szCs w:val="20"/>
        </w:rPr>
        <w:t>”.</w:t>
      </w:r>
    </w:p>
    <w:p w14:paraId="142DDB61"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p>
    <w:p w14:paraId="3E45E08B" w14:textId="67FEBF0E" w:rsidR="002558B3" w:rsidRPr="00CC00D4" w:rsidRDefault="002558B3" w:rsidP="00F64729">
      <w:pPr>
        <w:pStyle w:val="Titolo3"/>
      </w:pPr>
      <w:bookmarkStart w:id="401" w:name="__RefHeading__4598_1479815270"/>
      <w:bookmarkStart w:id="402" w:name="_Toc92386565"/>
      <w:bookmarkStart w:id="403" w:name="_Toc124266337"/>
      <w:r w:rsidRPr="00CC00D4">
        <w:t>7.2.8 Quadro SY</w:t>
      </w:r>
      <w:bookmarkEnd w:id="401"/>
      <w:bookmarkEnd w:id="402"/>
      <w:bookmarkEnd w:id="403"/>
    </w:p>
    <w:p w14:paraId="19C4193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prospetto SY ospita i dati relativi a:</w:t>
      </w:r>
    </w:p>
    <w:p w14:paraId="1307982A" w14:textId="77777777" w:rsidR="002558B3" w:rsidRPr="00CC00D4" w:rsidRDefault="002558B3">
      <w:pPr>
        <w:pStyle w:val="Paragrafoelenco"/>
        <w:numPr>
          <w:ilvl w:val="0"/>
          <w:numId w:val="176"/>
        </w:numPr>
        <w:autoSpaceDN w:val="0"/>
        <w:ind w:left="709" w:hanging="357"/>
        <w:contextualSpacing/>
        <w:textAlignment w:val="baseline"/>
        <w:rPr>
          <w:rFonts w:cs="Tahoma"/>
          <w:szCs w:val="20"/>
        </w:rPr>
      </w:pPr>
      <w:r w:rsidRPr="00CC00D4">
        <w:rPr>
          <w:rFonts w:cs="Tahoma"/>
          <w:szCs w:val="20"/>
        </w:rPr>
        <w:t>Somme liquidate a seguito di procedure di pignoramento presso terzi di cui all’articolo 21, comma 15 della Legge 27 dicembre 1997 numero 449;</w:t>
      </w:r>
    </w:p>
    <w:p w14:paraId="2565468C" w14:textId="77777777" w:rsidR="002558B3" w:rsidRPr="00CC00D4" w:rsidRDefault="002558B3">
      <w:pPr>
        <w:pStyle w:val="Paragrafoelenco"/>
        <w:numPr>
          <w:ilvl w:val="0"/>
          <w:numId w:val="176"/>
        </w:numPr>
        <w:autoSpaceDN w:val="0"/>
        <w:ind w:left="709" w:hanging="357"/>
        <w:contextualSpacing/>
        <w:textAlignment w:val="baseline"/>
        <w:rPr>
          <w:rFonts w:cs="Tahoma"/>
          <w:szCs w:val="20"/>
        </w:rPr>
      </w:pPr>
      <w:r w:rsidRPr="00CC00D4">
        <w:rPr>
          <w:rFonts w:cs="Tahoma"/>
          <w:szCs w:val="20"/>
        </w:rPr>
        <w:t>Ritenute operate ai sensi dell’articolo 25 del Decreto legge 31 maggio 2010 numero 78 convertito con modificazioni dalla Legge 30 luglio 2010 numero 122;</w:t>
      </w:r>
    </w:p>
    <w:p w14:paraId="395020AF" w14:textId="77777777" w:rsidR="002558B3" w:rsidRPr="00CC00D4" w:rsidRDefault="002558B3">
      <w:pPr>
        <w:pStyle w:val="Paragrafoelenco"/>
        <w:numPr>
          <w:ilvl w:val="0"/>
          <w:numId w:val="176"/>
        </w:numPr>
        <w:autoSpaceDN w:val="0"/>
        <w:ind w:left="709"/>
        <w:textAlignment w:val="baseline"/>
        <w:rPr>
          <w:rFonts w:cs="Tahoma"/>
          <w:szCs w:val="20"/>
        </w:rPr>
      </w:pPr>
      <w:r w:rsidRPr="00CC00D4">
        <w:rPr>
          <w:rFonts w:cs="Tahoma"/>
          <w:szCs w:val="20"/>
        </w:rPr>
        <w:t>Somme corrisposte a percipienti esteri privi di codice fiscale.</w:t>
      </w:r>
    </w:p>
    <w:p w14:paraId="5202996A" w14:textId="77777777" w:rsidR="002558B3" w:rsidRPr="00CC00D4" w:rsidRDefault="002558B3" w:rsidP="002558B3">
      <w:pPr>
        <w:pStyle w:val="Standard"/>
        <w:spacing w:after="200" w:line="360" w:lineRule="auto"/>
        <w:jc w:val="both"/>
        <w:rPr>
          <w:rFonts w:ascii="Tahoma" w:hAnsi="Tahoma" w:cs="Tahoma"/>
          <w:b/>
          <w:bCs/>
          <w:i/>
          <w:kern w:val="0"/>
          <w:sz w:val="20"/>
          <w:szCs w:val="20"/>
          <w:u w:val="single"/>
        </w:rPr>
      </w:pPr>
    </w:p>
    <w:p w14:paraId="48C4480E" w14:textId="1987EA6C" w:rsidR="002558B3" w:rsidRPr="00CC00D4" w:rsidRDefault="001105A9" w:rsidP="00F64729">
      <w:pPr>
        <w:pStyle w:val="Titolo2"/>
      </w:pPr>
      <w:bookmarkStart w:id="404" w:name="__RefHeading__4600_1479815270"/>
      <w:bookmarkStart w:id="405" w:name="_Toc92386566"/>
      <w:r w:rsidRPr="00CC00D4">
        <w:br w:type="page"/>
      </w:r>
      <w:bookmarkStart w:id="406" w:name="_Toc124266338"/>
      <w:r w:rsidR="002558B3" w:rsidRPr="00CC00D4">
        <w:lastRenderedPageBreak/>
        <w:t>7.3 Modello 730</w:t>
      </w:r>
      <w:bookmarkEnd w:id="404"/>
      <w:bookmarkEnd w:id="405"/>
      <w:bookmarkEnd w:id="406"/>
    </w:p>
    <w:p w14:paraId="2D0D250B"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La presentazione della Certificazione Unica è prodromica all’elaborazione e all’invio del Modello 730 da parte del contribuente.</w:t>
      </w:r>
    </w:p>
    <w:p w14:paraId="6C52D64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Quest’ultimo funge da dichiarazione annuale all’Agenzia Entrate dei redditi conseguiti nell’anno solare precedente, utile alla liquidazione definitiva delle imposte dovute all’Erario. In generale (ed eccezion fatta per i casi di esonero) sono obbligati a presentare la dichiarazione annuale dei redditi (attraverso il modello 730 o il modello REDDITI) i contribuenti che hanno percepito somme soggette a tassazione nell’anno di competenza della stessa.</w:t>
      </w:r>
    </w:p>
    <w:p w14:paraId="40F48132"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Esistono due tipologie di modello:</w:t>
      </w:r>
    </w:p>
    <w:p w14:paraId="7F0D3599" w14:textId="77777777" w:rsidR="002558B3" w:rsidRPr="00CC00D4" w:rsidRDefault="002558B3">
      <w:pPr>
        <w:pStyle w:val="Paragrafoelenco"/>
        <w:numPr>
          <w:ilvl w:val="0"/>
          <w:numId w:val="179"/>
        </w:numPr>
        <w:autoSpaceDN w:val="0"/>
        <w:ind w:left="709" w:hanging="357"/>
        <w:contextualSpacing/>
        <w:textAlignment w:val="baseline"/>
        <w:rPr>
          <w:rFonts w:cs="Tahoma"/>
          <w:szCs w:val="20"/>
        </w:rPr>
      </w:pPr>
      <w:r w:rsidRPr="00CC00D4">
        <w:rPr>
          <w:rFonts w:cs="Tahoma"/>
          <w:bCs/>
          <w:szCs w:val="20"/>
        </w:rPr>
        <w:t>730 precompilato messo a disposizione di lavoratori dipendenti e pensionati sul sito internet “</w:t>
      </w:r>
      <w:r w:rsidRPr="00CC00D4">
        <w:rPr>
          <w:rFonts w:cs="Tahoma"/>
          <w:bCs/>
          <w:i/>
          <w:szCs w:val="20"/>
        </w:rPr>
        <w:t>agenziaentrate.gov.it</w:t>
      </w:r>
      <w:r w:rsidRPr="00CC00D4">
        <w:rPr>
          <w:rFonts w:cs="Tahoma"/>
          <w:bCs/>
          <w:szCs w:val="20"/>
        </w:rPr>
        <w:t>”;</w:t>
      </w:r>
    </w:p>
    <w:p w14:paraId="38CE3800" w14:textId="77777777" w:rsidR="002558B3" w:rsidRPr="00CC00D4" w:rsidRDefault="002558B3">
      <w:pPr>
        <w:pStyle w:val="Paragrafoelenco"/>
        <w:numPr>
          <w:ilvl w:val="0"/>
          <w:numId w:val="179"/>
        </w:numPr>
        <w:autoSpaceDN w:val="0"/>
        <w:ind w:left="709"/>
        <w:textAlignment w:val="baseline"/>
        <w:rPr>
          <w:rFonts w:cs="Tahoma"/>
          <w:szCs w:val="20"/>
        </w:rPr>
      </w:pPr>
      <w:r w:rsidRPr="00CC00D4">
        <w:rPr>
          <w:rFonts w:cs="Tahoma"/>
          <w:bCs/>
          <w:szCs w:val="20"/>
        </w:rPr>
        <w:t>730 ordinario (non precompilato).</w:t>
      </w:r>
    </w:p>
    <w:p w14:paraId="5A4736E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730 precompilato dev’essere trasmesso entro il 30 settembre (i termini che cadono di sabato o in un giorno festivo slittano al primo giorno feriale successivo):</w:t>
      </w:r>
    </w:p>
    <w:p w14:paraId="79134DFB" w14:textId="77777777" w:rsidR="002558B3" w:rsidRPr="00CC00D4" w:rsidRDefault="002558B3">
      <w:pPr>
        <w:pStyle w:val="Paragrafoelenco"/>
        <w:numPr>
          <w:ilvl w:val="0"/>
          <w:numId w:val="174"/>
        </w:numPr>
        <w:autoSpaceDN w:val="0"/>
        <w:ind w:left="709" w:hanging="357"/>
        <w:contextualSpacing/>
        <w:textAlignment w:val="baseline"/>
        <w:rPr>
          <w:rFonts w:cs="Tahoma"/>
          <w:szCs w:val="20"/>
        </w:rPr>
      </w:pPr>
      <w:r w:rsidRPr="00CC00D4">
        <w:rPr>
          <w:rFonts w:cs="Tahoma"/>
          <w:bCs/>
          <w:szCs w:val="20"/>
        </w:rPr>
        <w:t>Direttamente all’Agenzia Entrate;</w:t>
      </w:r>
    </w:p>
    <w:p w14:paraId="74A38A3F" w14:textId="77777777" w:rsidR="002558B3" w:rsidRPr="00CC00D4" w:rsidRDefault="002558B3">
      <w:pPr>
        <w:pStyle w:val="Paragrafoelenco"/>
        <w:numPr>
          <w:ilvl w:val="0"/>
          <w:numId w:val="174"/>
        </w:numPr>
        <w:autoSpaceDN w:val="0"/>
        <w:ind w:left="709"/>
        <w:textAlignment w:val="baseline"/>
        <w:rPr>
          <w:rFonts w:cs="Tahoma"/>
          <w:szCs w:val="20"/>
        </w:rPr>
      </w:pPr>
      <w:r w:rsidRPr="00CC00D4">
        <w:rPr>
          <w:rFonts w:cs="Tahoma"/>
          <w:bCs/>
          <w:szCs w:val="20"/>
        </w:rPr>
        <w:t>In alternativa al Caf, professionista o sostituto d’imposta.</w:t>
      </w:r>
    </w:p>
    <w:p w14:paraId="40FB7AA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Al contrario, il 730 ordinario si presenta, sempre nel rispetto del termine del 30 settembre, al sostituto d’imposta ovvero al Caf / professionista abilitato.</w:t>
      </w:r>
    </w:p>
    <w:p w14:paraId="0A9D9544" w14:textId="57ABCF52"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Stando alle istruzioni dell’Agenzia Entrate disponibili sul portale “</w:t>
      </w:r>
      <w:r w:rsidRPr="00CC00D4">
        <w:rPr>
          <w:rFonts w:ascii="Tahoma" w:hAnsi="Tahoma" w:cs="Tahoma"/>
          <w:bCs/>
          <w:i/>
          <w:iCs/>
          <w:kern w:val="0"/>
          <w:sz w:val="20"/>
          <w:szCs w:val="20"/>
        </w:rPr>
        <w:t xml:space="preserve">agenziaentrate.gov.it – Schede informative e servizi – </w:t>
      </w:r>
      <w:hyperlink r:id="rId48" w:history="1">
        <w:r w:rsidRPr="00CC00D4">
          <w:rPr>
            <w:rStyle w:val="Collegamentoipertestuale"/>
            <w:rFonts w:ascii="Tahoma" w:hAnsi="Tahoma" w:cs="Tahoma"/>
            <w:bCs/>
            <w:i/>
            <w:iCs/>
            <w:kern w:val="0"/>
            <w:sz w:val="20"/>
            <w:szCs w:val="20"/>
          </w:rPr>
          <w:t>Dichiarazioni – 730/202</w:t>
        </w:r>
        <w:r w:rsidR="009C11E3" w:rsidRPr="00CC00D4">
          <w:rPr>
            <w:rStyle w:val="Collegamentoipertestuale"/>
            <w:rFonts w:ascii="Tahoma" w:hAnsi="Tahoma" w:cs="Tahoma"/>
            <w:bCs/>
            <w:i/>
            <w:iCs/>
            <w:kern w:val="0"/>
            <w:sz w:val="20"/>
            <w:szCs w:val="20"/>
          </w:rPr>
          <w:t>2</w:t>
        </w:r>
        <w:r w:rsidRPr="00CC00D4">
          <w:rPr>
            <w:rStyle w:val="Collegamentoipertestuale"/>
            <w:rFonts w:ascii="Tahoma" w:hAnsi="Tahoma" w:cs="Tahoma"/>
            <w:bCs/>
            <w:i/>
            <w:iCs/>
            <w:kern w:val="0"/>
            <w:sz w:val="20"/>
            <w:szCs w:val="20"/>
          </w:rPr>
          <w:t xml:space="preserve"> – Modello e istruzioni</w:t>
        </w:r>
      </w:hyperlink>
      <w:r w:rsidRPr="00CC00D4">
        <w:rPr>
          <w:rFonts w:ascii="Tahoma" w:hAnsi="Tahoma" w:cs="Tahoma"/>
          <w:bCs/>
          <w:kern w:val="0"/>
          <w:sz w:val="20"/>
          <w:szCs w:val="20"/>
        </w:rPr>
        <w:t>” possono utilizzare il modello 730 - 202</w:t>
      </w:r>
      <w:r w:rsidR="009C11E3" w:rsidRPr="00CC00D4">
        <w:rPr>
          <w:rFonts w:ascii="Tahoma" w:hAnsi="Tahoma" w:cs="Tahoma"/>
          <w:bCs/>
          <w:kern w:val="0"/>
          <w:sz w:val="20"/>
          <w:szCs w:val="20"/>
        </w:rPr>
        <w:t>2</w:t>
      </w:r>
      <w:r w:rsidRPr="00CC00D4">
        <w:rPr>
          <w:rFonts w:ascii="Tahoma" w:hAnsi="Tahoma" w:cs="Tahoma"/>
          <w:bCs/>
          <w:kern w:val="0"/>
          <w:sz w:val="20"/>
          <w:szCs w:val="20"/>
        </w:rPr>
        <w:t xml:space="preserve"> (precompilato o ordinario) i “</w:t>
      </w:r>
      <w:r w:rsidRPr="00CC00D4">
        <w:rPr>
          <w:rFonts w:ascii="Tahoma" w:hAnsi="Tahoma" w:cs="Tahoma"/>
          <w:bCs/>
          <w:i/>
          <w:iCs/>
          <w:kern w:val="0"/>
          <w:sz w:val="20"/>
          <w:szCs w:val="20"/>
        </w:rPr>
        <w:t>contribuenti che nel 202</w:t>
      </w:r>
      <w:r w:rsidR="009C11E3" w:rsidRPr="00CC00D4">
        <w:rPr>
          <w:rFonts w:ascii="Tahoma" w:hAnsi="Tahoma" w:cs="Tahoma"/>
          <w:bCs/>
          <w:i/>
          <w:iCs/>
          <w:kern w:val="0"/>
          <w:sz w:val="20"/>
          <w:szCs w:val="20"/>
        </w:rPr>
        <w:t>1</w:t>
      </w:r>
      <w:r w:rsidRPr="00CC00D4">
        <w:rPr>
          <w:rFonts w:ascii="Tahoma" w:hAnsi="Tahoma" w:cs="Tahoma"/>
          <w:bCs/>
          <w:i/>
          <w:iCs/>
          <w:kern w:val="0"/>
          <w:sz w:val="20"/>
          <w:szCs w:val="20"/>
        </w:rPr>
        <w:t xml:space="preserve"> hanno percepito</w:t>
      </w:r>
      <w:r w:rsidRPr="00CC00D4">
        <w:rPr>
          <w:rFonts w:ascii="Tahoma" w:hAnsi="Tahoma" w:cs="Tahoma"/>
          <w:bCs/>
          <w:kern w:val="0"/>
          <w:sz w:val="20"/>
          <w:szCs w:val="20"/>
        </w:rPr>
        <w:t>”:</w:t>
      </w:r>
    </w:p>
    <w:p w14:paraId="5A740C72" w14:textId="77777777" w:rsidR="002558B3" w:rsidRPr="00CC00D4" w:rsidRDefault="002558B3">
      <w:pPr>
        <w:pStyle w:val="Paragrafoelenco"/>
        <w:numPr>
          <w:ilvl w:val="0"/>
          <w:numId w:val="175"/>
        </w:numPr>
        <w:autoSpaceDN w:val="0"/>
        <w:ind w:left="709" w:hanging="357"/>
        <w:contextualSpacing/>
        <w:textAlignment w:val="baseline"/>
        <w:rPr>
          <w:rFonts w:cs="Tahoma"/>
          <w:szCs w:val="20"/>
        </w:rPr>
      </w:pPr>
      <w:r w:rsidRPr="00CC00D4">
        <w:rPr>
          <w:rFonts w:cs="Tahoma"/>
          <w:bCs/>
          <w:szCs w:val="20"/>
        </w:rPr>
        <w:t>Redditi di lavoro dipendente e redditi assimilati a quelli di lavoro dipendente;</w:t>
      </w:r>
    </w:p>
    <w:p w14:paraId="310E5AD7" w14:textId="77777777" w:rsidR="002558B3" w:rsidRPr="00CC00D4" w:rsidRDefault="002558B3">
      <w:pPr>
        <w:pStyle w:val="Paragrafoelenco"/>
        <w:numPr>
          <w:ilvl w:val="0"/>
          <w:numId w:val="175"/>
        </w:numPr>
        <w:autoSpaceDN w:val="0"/>
        <w:ind w:left="709" w:hanging="357"/>
        <w:contextualSpacing/>
        <w:textAlignment w:val="baseline"/>
        <w:rPr>
          <w:rFonts w:cs="Tahoma"/>
          <w:szCs w:val="20"/>
        </w:rPr>
      </w:pPr>
      <w:r w:rsidRPr="00CC00D4">
        <w:rPr>
          <w:rFonts w:cs="Tahoma"/>
          <w:bCs/>
          <w:szCs w:val="20"/>
        </w:rPr>
        <w:t>Redditi dei terreni e dei fabbricati;</w:t>
      </w:r>
    </w:p>
    <w:p w14:paraId="0EBFB364" w14:textId="77777777" w:rsidR="002558B3" w:rsidRPr="00CC00D4" w:rsidRDefault="002558B3">
      <w:pPr>
        <w:pStyle w:val="Paragrafoelenco"/>
        <w:numPr>
          <w:ilvl w:val="0"/>
          <w:numId w:val="175"/>
        </w:numPr>
        <w:autoSpaceDN w:val="0"/>
        <w:ind w:left="709" w:hanging="357"/>
        <w:contextualSpacing/>
        <w:textAlignment w:val="baseline"/>
        <w:rPr>
          <w:rFonts w:cs="Tahoma"/>
          <w:szCs w:val="20"/>
        </w:rPr>
      </w:pPr>
      <w:r w:rsidRPr="00CC00D4">
        <w:rPr>
          <w:rFonts w:cs="Tahoma"/>
          <w:bCs/>
          <w:szCs w:val="20"/>
        </w:rPr>
        <w:t>Redditi di capitale;</w:t>
      </w:r>
    </w:p>
    <w:p w14:paraId="6B51A92A" w14:textId="77777777" w:rsidR="002558B3" w:rsidRPr="00CC00D4" w:rsidRDefault="002558B3">
      <w:pPr>
        <w:pStyle w:val="Paragrafoelenco"/>
        <w:numPr>
          <w:ilvl w:val="0"/>
          <w:numId w:val="175"/>
        </w:numPr>
        <w:autoSpaceDN w:val="0"/>
        <w:ind w:left="709" w:hanging="357"/>
        <w:contextualSpacing/>
        <w:textAlignment w:val="baseline"/>
        <w:rPr>
          <w:rFonts w:cs="Tahoma"/>
          <w:szCs w:val="20"/>
        </w:rPr>
      </w:pPr>
      <w:r w:rsidRPr="00CC00D4">
        <w:rPr>
          <w:rFonts w:cs="Tahoma"/>
          <w:bCs/>
          <w:szCs w:val="20"/>
        </w:rPr>
        <w:t>Redditi di lavoro autonomo per i quali non è richiesta la partita IVA (è il caso delle prestazioni di lavoro autonomo occasionale ai sensi dell’articolo 2222 Codice Civile);</w:t>
      </w:r>
    </w:p>
    <w:p w14:paraId="36D3A60C" w14:textId="77777777" w:rsidR="002558B3" w:rsidRPr="00CC00D4" w:rsidRDefault="002558B3">
      <w:pPr>
        <w:pStyle w:val="Paragrafoelenco"/>
        <w:numPr>
          <w:ilvl w:val="0"/>
          <w:numId w:val="175"/>
        </w:numPr>
        <w:autoSpaceDN w:val="0"/>
        <w:ind w:left="709" w:hanging="357"/>
        <w:contextualSpacing/>
        <w:textAlignment w:val="baseline"/>
        <w:rPr>
          <w:rFonts w:cs="Tahoma"/>
          <w:szCs w:val="20"/>
        </w:rPr>
      </w:pPr>
      <w:r w:rsidRPr="00CC00D4">
        <w:rPr>
          <w:rFonts w:cs="Tahoma"/>
          <w:bCs/>
          <w:szCs w:val="20"/>
        </w:rPr>
        <w:t>Redditi diversi;</w:t>
      </w:r>
    </w:p>
    <w:p w14:paraId="7095E283" w14:textId="77777777" w:rsidR="002558B3" w:rsidRPr="00CC00D4" w:rsidRDefault="002558B3">
      <w:pPr>
        <w:pStyle w:val="Paragrafoelenco"/>
        <w:numPr>
          <w:ilvl w:val="0"/>
          <w:numId w:val="175"/>
        </w:numPr>
        <w:autoSpaceDN w:val="0"/>
        <w:ind w:left="709"/>
        <w:textAlignment w:val="baseline"/>
        <w:rPr>
          <w:rFonts w:cs="Tahoma"/>
          <w:szCs w:val="20"/>
        </w:rPr>
      </w:pPr>
      <w:r w:rsidRPr="00CC00D4">
        <w:rPr>
          <w:rFonts w:cs="Tahoma"/>
          <w:bCs/>
          <w:szCs w:val="20"/>
        </w:rPr>
        <w:t>Redditi assoggettabili a tassazione separata, di cui alla sezione II del quadro D.</w:t>
      </w:r>
    </w:p>
    <w:p w14:paraId="411FB8B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 soggetti sopra citati possono in alternativa utilizzare il modello REDDITI PF da presentare in via telematica all’Agenzia Entrate (direttamente o tramite intermediario abilitato) entro il 30 novembre.</w:t>
      </w:r>
    </w:p>
    <w:p w14:paraId="78FE51DE" w14:textId="1DB2D642"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lastRenderedPageBreak/>
        <w:t>Sono in ogni caso tenuti a presentare il modello REDDITI 202</w:t>
      </w:r>
      <w:r w:rsidR="009C11E3" w:rsidRPr="00CC00D4">
        <w:rPr>
          <w:rFonts w:ascii="Tahoma" w:hAnsi="Tahoma" w:cs="Tahoma"/>
          <w:kern w:val="0"/>
          <w:sz w:val="20"/>
          <w:szCs w:val="20"/>
        </w:rPr>
        <w:t>2</w:t>
      </w:r>
      <w:r w:rsidRPr="00CC00D4">
        <w:rPr>
          <w:rFonts w:ascii="Tahoma" w:hAnsi="Tahoma" w:cs="Tahoma"/>
          <w:kern w:val="0"/>
          <w:sz w:val="20"/>
          <w:szCs w:val="20"/>
        </w:rPr>
        <w:t xml:space="preserve"> coloro che nel 202</w:t>
      </w:r>
      <w:r w:rsidR="009C11E3" w:rsidRPr="00CC00D4">
        <w:rPr>
          <w:rFonts w:ascii="Tahoma" w:hAnsi="Tahoma" w:cs="Tahoma"/>
          <w:kern w:val="0"/>
          <w:sz w:val="20"/>
          <w:szCs w:val="20"/>
        </w:rPr>
        <w:t>1</w:t>
      </w:r>
      <w:r w:rsidRPr="00CC00D4">
        <w:rPr>
          <w:rFonts w:ascii="Tahoma" w:hAnsi="Tahoma" w:cs="Tahoma"/>
          <w:kern w:val="0"/>
          <w:sz w:val="20"/>
          <w:szCs w:val="20"/>
        </w:rPr>
        <w:t xml:space="preserve"> hanno percepito:</w:t>
      </w:r>
    </w:p>
    <w:p w14:paraId="4F97A87C"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Redditi derivanti da produzione di “agroenergie” oltre i limiti previsti dal Decreto Legge 24 aprile 2014 numero 66;</w:t>
      </w:r>
    </w:p>
    <w:p w14:paraId="08277A30"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Redditi d’impresa, anche in forma di partecipazione;</w:t>
      </w:r>
    </w:p>
    <w:p w14:paraId="6D872E72"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Redditi di lavoro autonomo con partita IVA;</w:t>
      </w:r>
    </w:p>
    <w:p w14:paraId="760DAF4A"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Redditi di lavoro autonomo cui si applica, ai fini dell’imposte sui redditi, l’articolo 50 del TUIR (soci delle cooperative artigiane);</w:t>
      </w:r>
    </w:p>
    <w:p w14:paraId="060AAF09"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Redditi “diversi” eccezion fatta per quelli compresi nel quadro D, righi D4 e D5;</w:t>
      </w:r>
    </w:p>
    <w:p w14:paraId="62E99734" w14:textId="77777777" w:rsidR="002558B3" w:rsidRPr="00CC00D4" w:rsidRDefault="002558B3">
      <w:pPr>
        <w:pStyle w:val="Paragrafoelenco"/>
        <w:numPr>
          <w:ilvl w:val="0"/>
          <w:numId w:val="173"/>
        </w:numPr>
        <w:autoSpaceDN w:val="0"/>
        <w:ind w:left="709" w:hanging="357"/>
        <w:contextualSpacing/>
        <w:textAlignment w:val="baseline"/>
        <w:rPr>
          <w:rFonts w:cs="Tahoma"/>
          <w:szCs w:val="20"/>
        </w:rPr>
      </w:pPr>
      <w:r w:rsidRPr="00CC00D4">
        <w:rPr>
          <w:rFonts w:cs="Tahoma"/>
          <w:szCs w:val="20"/>
        </w:rPr>
        <w:t>Plusvalenze derivanti dalla cessione di partecipazioni qualificate e non derivanti “</w:t>
      </w:r>
      <w:r w:rsidRPr="00CC00D4">
        <w:rPr>
          <w:rFonts w:cs="Tahoma"/>
          <w:i/>
          <w:iCs/>
          <w:szCs w:val="20"/>
        </w:rPr>
        <w:t>dalla cessione di partecipazioni non qualificate in imprese o enti residenti o localizzati in Paesi o territori a fiscalità privilegiata, i cui titoli non sono negoziati in mercati regolamentati</w:t>
      </w:r>
      <w:r w:rsidRPr="00CC00D4">
        <w:rPr>
          <w:rFonts w:cs="Tahoma"/>
          <w:szCs w:val="20"/>
        </w:rPr>
        <w:t>”;</w:t>
      </w:r>
    </w:p>
    <w:p w14:paraId="365A82CD" w14:textId="77777777" w:rsidR="002558B3" w:rsidRPr="00CC00D4" w:rsidRDefault="002558B3">
      <w:pPr>
        <w:pStyle w:val="Paragrafoelenco"/>
        <w:numPr>
          <w:ilvl w:val="0"/>
          <w:numId w:val="173"/>
        </w:numPr>
        <w:autoSpaceDN w:val="0"/>
        <w:ind w:left="709"/>
        <w:textAlignment w:val="baseline"/>
        <w:rPr>
          <w:rFonts w:cs="Tahoma"/>
          <w:szCs w:val="20"/>
        </w:rPr>
      </w:pPr>
      <w:r w:rsidRPr="00CC00D4">
        <w:rPr>
          <w:rFonts w:cs="Tahoma"/>
          <w:szCs w:val="20"/>
        </w:rPr>
        <w:t>Redditi provenienti da “</w:t>
      </w:r>
      <w:r w:rsidRPr="00CC00D4">
        <w:rPr>
          <w:rFonts w:cs="Tahoma"/>
          <w:i/>
          <w:iCs/>
          <w:szCs w:val="20"/>
        </w:rPr>
        <w:t>trust</w:t>
      </w:r>
      <w:r w:rsidRPr="00CC00D4">
        <w:rPr>
          <w:rFonts w:cs="Tahoma"/>
          <w:szCs w:val="20"/>
        </w:rPr>
        <w:t>” in qualità di beneficiario</w:t>
      </w:r>
      <w:r w:rsidR="00F32F1F" w:rsidRPr="00CC00D4">
        <w:rPr>
          <w:rFonts w:cs="Tahoma"/>
          <w:szCs w:val="20"/>
        </w:rPr>
        <w:t>.</w:t>
      </w:r>
    </w:p>
    <w:p w14:paraId="4958D54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Sono inoltre compresi tra i soggetti obbligati i:</w:t>
      </w:r>
    </w:p>
    <w:p w14:paraId="6FFBDB36" w14:textId="49F3BE92" w:rsidR="002558B3" w:rsidRPr="00CC00D4" w:rsidRDefault="002558B3">
      <w:pPr>
        <w:pStyle w:val="Paragrafoelenco"/>
        <w:numPr>
          <w:ilvl w:val="0"/>
          <w:numId w:val="172"/>
        </w:numPr>
        <w:autoSpaceDN w:val="0"/>
        <w:ind w:left="709" w:hanging="357"/>
        <w:contextualSpacing/>
        <w:textAlignment w:val="baseline"/>
        <w:rPr>
          <w:rFonts w:cs="Tahoma"/>
          <w:szCs w:val="20"/>
        </w:rPr>
      </w:pPr>
      <w:r w:rsidRPr="00CC00D4">
        <w:rPr>
          <w:rFonts w:cs="Tahoma"/>
          <w:szCs w:val="20"/>
        </w:rPr>
        <w:t>Non residenti “</w:t>
      </w:r>
      <w:r w:rsidRPr="00CC00D4">
        <w:rPr>
          <w:rFonts w:cs="Tahoma"/>
          <w:i/>
          <w:iCs/>
          <w:szCs w:val="20"/>
        </w:rPr>
        <w:t>nel 202</w:t>
      </w:r>
      <w:r w:rsidR="009C11E3" w:rsidRPr="00CC00D4">
        <w:rPr>
          <w:rFonts w:cs="Tahoma"/>
          <w:i/>
          <w:iCs/>
          <w:szCs w:val="20"/>
        </w:rPr>
        <w:t>1</w:t>
      </w:r>
      <w:r w:rsidRPr="00CC00D4">
        <w:rPr>
          <w:rFonts w:cs="Tahoma"/>
          <w:i/>
          <w:iCs/>
          <w:szCs w:val="20"/>
        </w:rPr>
        <w:t xml:space="preserve"> e / o nel 202</w:t>
      </w:r>
      <w:r w:rsidR="009C11E3" w:rsidRPr="00CC00D4">
        <w:rPr>
          <w:rFonts w:cs="Tahoma"/>
          <w:i/>
          <w:iCs/>
          <w:szCs w:val="20"/>
        </w:rPr>
        <w:t>2</w:t>
      </w:r>
      <w:r w:rsidRPr="00CC00D4">
        <w:rPr>
          <w:rFonts w:cs="Tahoma"/>
          <w:szCs w:val="20"/>
        </w:rPr>
        <w:t>” in Italia;</w:t>
      </w:r>
    </w:p>
    <w:p w14:paraId="2C15AA91" w14:textId="77777777" w:rsidR="002558B3" w:rsidRPr="00CC00D4" w:rsidRDefault="002558B3">
      <w:pPr>
        <w:pStyle w:val="Paragrafoelenco"/>
        <w:numPr>
          <w:ilvl w:val="0"/>
          <w:numId w:val="172"/>
        </w:numPr>
        <w:autoSpaceDN w:val="0"/>
        <w:ind w:left="709" w:hanging="357"/>
        <w:contextualSpacing/>
        <w:textAlignment w:val="baseline"/>
        <w:rPr>
          <w:rFonts w:cs="Tahoma"/>
          <w:szCs w:val="20"/>
        </w:rPr>
      </w:pPr>
      <w:r w:rsidRPr="00CC00D4">
        <w:rPr>
          <w:rFonts w:cs="Tahoma"/>
          <w:szCs w:val="20"/>
        </w:rPr>
        <w:t>Soggetti obbligati a presentare almeno una delle seguenti dichiarazioni tra IVA, IRAP e modello 770;</w:t>
      </w:r>
    </w:p>
    <w:p w14:paraId="563D5192" w14:textId="77777777" w:rsidR="002558B3" w:rsidRPr="00CC00D4" w:rsidRDefault="002558B3">
      <w:pPr>
        <w:pStyle w:val="Paragrafoelenco"/>
        <w:numPr>
          <w:ilvl w:val="0"/>
          <w:numId w:val="172"/>
        </w:numPr>
        <w:autoSpaceDN w:val="0"/>
        <w:ind w:left="709" w:hanging="357"/>
        <w:contextualSpacing/>
        <w:textAlignment w:val="baseline"/>
        <w:rPr>
          <w:rFonts w:cs="Tahoma"/>
          <w:szCs w:val="20"/>
        </w:rPr>
      </w:pPr>
      <w:r w:rsidRPr="00CC00D4">
        <w:rPr>
          <w:rFonts w:cs="Tahoma"/>
          <w:szCs w:val="20"/>
        </w:rPr>
        <w:t>Contribuenti che utilizzano crediti d’imposta per redditi prodotti all’estero diversi da quelli di cui al rigo G4;</w:t>
      </w:r>
    </w:p>
    <w:p w14:paraId="096F202A" w14:textId="648703FA" w:rsidR="002558B3" w:rsidRPr="00CC00D4" w:rsidRDefault="002558B3">
      <w:pPr>
        <w:pStyle w:val="Paragrafoelenco"/>
        <w:numPr>
          <w:ilvl w:val="0"/>
          <w:numId w:val="172"/>
        </w:numPr>
        <w:autoSpaceDN w:val="0"/>
        <w:ind w:left="709" w:hanging="357"/>
        <w:contextualSpacing/>
        <w:textAlignment w:val="baseline"/>
        <w:rPr>
          <w:rFonts w:cs="Tahoma"/>
          <w:szCs w:val="20"/>
        </w:rPr>
      </w:pPr>
      <w:r w:rsidRPr="00CC00D4">
        <w:rPr>
          <w:rFonts w:cs="Tahoma"/>
          <w:szCs w:val="20"/>
        </w:rPr>
        <w:t>Contribuenti che nel 202</w:t>
      </w:r>
      <w:r w:rsidR="009C11E3" w:rsidRPr="00CC00D4">
        <w:rPr>
          <w:rFonts w:cs="Tahoma"/>
          <w:szCs w:val="20"/>
        </w:rPr>
        <w:t>1</w:t>
      </w:r>
      <w:r w:rsidRPr="00CC00D4">
        <w:rPr>
          <w:rFonts w:cs="Tahoma"/>
          <w:szCs w:val="20"/>
        </w:rPr>
        <w:t xml:space="preserve"> hanno percepito “</w:t>
      </w:r>
      <w:r w:rsidRPr="00CC00D4">
        <w:rPr>
          <w:rFonts w:cs="Tahoma"/>
          <w:i/>
          <w:iCs/>
          <w:szCs w:val="20"/>
        </w:rPr>
        <w:t>redditi da pensione di cui all’articolo 49, comma 2, lettera a) del TUIR erogati da soggetti esteri, delle persone fisiche che trasferiscono in Italia la propria residenza in uno dei comuni appartenenti al territorio del Mezzogiorno, con popolazione non superiore ai 20.000 abitanti, situati nelle regioni Sicilia, Calabria, Sardegna, Campania, Basilicata, Abruzzo, Molise e Puglia</w:t>
      </w:r>
      <w:r w:rsidRPr="00CC00D4">
        <w:rPr>
          <w:rFonts w:cs="Tahoma"/>
          <w:szCs w:val="20"/>
        </w:rPr>
        <w:t>”;</w:t>
      </w:r>
    </w:p>
    <w:p w14:paraId="0731A1BC" w14:textId="77777777" w:rsidR="002558B3" w:rsidRPr="00CC00D4" w:rsidRDefault="002558B3">
      <w:pPr>
        <w:pStyle w:val="Paragrafoelenco"/>
        <w:numPr>
          <w:ilvl w:val="0"/>
          <w:numId w:val="172"/>
        </w:numPr>
        <w:autoSpaceDN w:val="0"/>
        <w:ind w:left="709"/>
        <w:textAlignment w:val="baseline"/>
        <w:rPr>
          <w:rFonts w:cs="Tahoma"/>
          <w:szCs w:val="20"/>
        </w:rPr>
      </w:pPr>
      <w:r w:rsidRPr="00CC00D4">
        <w:rPr>
          <w:rFonts w:cs="Tahoma"/>
          <w:szCs w:val="20"/>
        </w:rPr>
        <w:t>Contribuenti che devono compilare il prospetto degli aiuti di Stato.</w:t>
      </w:r>
    </w:p>
    <w:p w14:paraId="16165ECC" w14:textId="77777777" w:rsidR="002558B3" w:rsidRPr="00CC00D4" w:rsidRDefault="002558B3" w:rsidP="002558B3">
      <w:pPr>
        <w:pStyle w:val="Standard"/>
        <w:spacing w:after="200" w:line="360" w:lineRule="auto"/>
        <w:jc w:val="both"/>
        <w:rPr>
          <w:rFonts w:ascii="Tahoma" w:hAnsi="Tahoma" w:cs="Tahoma"/>
          <w:kern w:val="0"/>
          <w:sz w:val="20"/>
          <w:szCs w:val="20"/>
        </w:rPr>
      </w:pPr>
    </w:p>
    <w:p w14:paraId="733F861B" w14:textId="02492FC3" w:rsidR="002558B3" w:rsidRPr="00CC00D4" w:rsidRDefault="002558B3" w:rsidP="00F64729">
      <w:pPr>
        <w:pStyle w:val="Titolo3"/>
      </w:pPr>
      <w:bookmarkStart w:id="407" w:name="__RefHeading__4602_1479815270"/>
      <w:bookmarkStart w:id="408" w:name="_Toc92386567"/>
      <w:bookmarkStart w:id="409" w:name="_Toc124266339"/>
      <w:r w:rsidRPr="00CC00D4">
        <w:t>7.3.1 Struttura del modello</w:t>
      </w:r>
      <w:bookmarkEnd w:id="407"/>
      <w:bookmarkEnd w:id="408"/>
      <w:bookmarkEnd w:id="409"/>
    </w:p>
    <w:p w14:paraId="6708BD6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modello 730 base si compone di:</w:t>
      </w:r>
    </w:p>
    <w:p w14:paraId="555630F1"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Frontespizio;</w:t>
      </w:r>
    </w:p>
    <w:p w14:paraId="66A06D4F"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Firma della dichiarazione;</w:t>
      </w:r>
    </w:p>
    <w:p w14:paraId="338E4EC9"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A (redditi dei terreni);</w:t>
      </w:r>
    </w:p>
    <w:p w14:paraId="75713BC0"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B (redditi dei fabbricati);</w:t>
      </w:r>
    </w:p>
    <w:p w14:paraId="140E2093"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C (redditi di lavoro dipendente e assimilati);</w:t>
      </w:r>
    </w:p>
    <w:p w14:paraId="7D046990"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D (altri redditi);</w:t>
      </w:r>
    </w:p>
    <w:p w14:paraId="2D52A210" w14:textId="4FCADB63"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lastRenderedPageBreak/>
        <w:t>Quadro E (oneri e spese detra</w:t>
      </w:r>
      <w:r w:rsidR="00077E25" w:rsidRPr="00CC00D4">
        <w:rPr>
          <w:rFonts w:cs="Tahoma"/>
          <w:szCs w:val="20"/>
        </w:rPr>
        <w:t>i</w:t>
      </w:r>
      <w:r w:rsidRPr="00CC00D4">
        <w:rPr>
          <w:rFonts w:cs="Tahoma"/>
          <w:szCs w:val="20"/>
        </w:rPr>
        <w:t>bili, oneri deducibili);</w:t>
      </w:r>
    </w:p>
    <w:p w14:paraId="56201741"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F (acconti, ritenute, eccedenze ed altri dati);</w:t>
      </w:r>
    </w:p>
    <w:p w14:paraId="2828F17B"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G (crediti d’imposta);</w:t>
      </w:r>
    </w:p>
    <w:p w14:paraId="45C4BF7E"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I (imposte da compensare);</w:t>
      </w:r>
    </w:p>
    <w:p w14:paraId="27F32D60" w14:textId="77777777" w:rsidR="002558B3" w:rsidRPr="00CC00D4" w:rsidRDefault="002558B3">
      <w:pPr>
        <w:pStyle w:val="Paragrafoelenco"/>
        <w:numPr>
          <w:ilvl w:val="0"/>
          <w:numId w:val="171"/>
        </w:numPr>
        <w:autoSpaceDN w:val="0"/>
        <w:ind w:left="709" w:hanging="357"/>
        <w:contextualSpacing/>
        <w:textAlignment w:val="baseline"/>
        <w:rPr>
          <w:rFonts w:cs="Tahoma"/>
          <w:szCs w:val="20"/>
        </w:rPr>
      </w:pPr>
      <w:r w:rsidRPr="00CC00D4">
        <w:rPr>
          <w:rFonts w:cs="Tahoma"/>
          <w:szCs w:val="20"/>
        </w:rPr>
        <w:t>Quadro K (comunicazione all’amministratore di condominio);</w:t>
      </w:r>
    </w:p>
    <w:p w14:paraId="3720853B" w14:textId="77777777" w:rsidR="002558B3" w:rsidRPr="00CC00D4" w:rsidRDefault="002558B3">
      <w:pPr>
        <w:pStyle w:val="Paragrafoelenco"/>
        <w:numPr>
          <w:ilvl w:val="0"/>
          <w:numId w:val="171"/>
        </w:numPr>
        <w:autoSpaceDN w:val="0"/>
        <w:ind w:left="709"/>
        <w:textAlignment w:val="baseline"/>
        <w:rPr>
          <w:rFonts w:cs="Tahoma"/>
          <w:szCs w:val="20"/>
        </w:rPr>
      </w:pPr>
      <w:r w:rsidRPr="00CC00D4">
        <w:rPr>
          <w:rFonts w:cs="Tahoma"/>
          <w:szCs w:val="20"/>
        </w:rPr>
        <w:t>Quadro L (ulteriori dati).</w:t>
      </w:r>
    </w:p>
    <w:p w14:paraId="75A3FB9A"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Vi sono poi il modello 730 – 1 per la destinazione dell’otto, cinque e due per mille dell’IRPEF ed il modello 730 – 3 con il prospetto di liquidazione.</w:t>
      </w:r>
    </w:p>
    <w:p w14:paraId="2EF8349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Quest’ultimo contiene in particolare “</w:t>
      </w:r>
      <w:r w:rsidRPr="00CC00D4">
        <w:rPr>
          <w:rFonts w:ascii="Tahoma" w:hAnsi="Tahoma" w:cs="Tahoma"/>
          <w:i/>
          <w:iCs/>
          <w:kern w:val="0"/>
          <w:sz w:val="20"/>
          <w:szCs w:val="20"/>
        </w:rPr>
        <w:t>il calcolo dell’Irpef, delle addizionali e delle altre imposte che saranno trattenute o rimborsate dal sostituto d’imposta</w:t>
      </w:r>
      <w:r w:rsidRPr="00CC00D4">
        <w:rPr>
          <w:rFonts w:ascii="Tahoma" w:hAnsi="Tahoma" w:cs="Tahoma"/>
          <w:kern w:val="0"/>
          <w:sz w:val="20"/>
          <w:szCs w:val="20"/>
        </w:rPr>
        <w:t>”.</w:t>
      </w:r>
    </w:p>
    <w:p w14:paraId="030733A5" w14:textId="77777777" w:rsidR="002558B3" w:rsidRPr="00CC00D4" w:rsidRDefault="002558B3" w:rsidP="002558B3">
      <w:pPr>
        <w:pStyle w:val="Standard"/>
        <w:spacing w:after="200" w:line="360" w:lineRule="auto"/>
        <w:jc w:val="both"/>
        <w:rPr>
          <w:rFonts w:ascii="Tahoma" w:hAnsi="Tahoma" w:cs="Tahoma"/>
          <w:kern w:val="0"/>
          <w:sz w:val="20"/>
          <w:szCs w:val="20"/>
        </w:rPr>
      </w:pPr>
    </w:p>
    <w:p w14:paraId="4654F4CB" w14:textId="4A11091A" w:rsidR="002558B3" w:rsidRPr="00CC00D4" w:rsidRDefault="002558B3" w:rsidP="00F64729">
      <w:pPr>
        <w:pStyle w:val="Titolo3"/>
        <w:rPr>
          <w:u w:val="none"/>
        </w:rPr>
      </w:pPr>
      <w:bookmarkStart w:id="410" w:name="__RefHeading__4604_1479815270"/>
      <w:bookmarkStart w:id="411" w:name="_Toc92386568"/>
      <w:bookmarkStart w:id="412" w:name="_Toc124266340"/>
      <w:r w:rsidRPr="00CC00D4">
        <w:t>7.3.2 Conguaglio</w:t>
      </w:r>
      <w:bookmarkEnd w:id="410"/>
      <w:bookmarkEnd w:id="411"/>
      <w:bookmarkEnd w:id="412"/>
    </w:p>
    <w:p w14:paraId="443FDDE6"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Il risultato della dichiarazione 730 può comportare un debito o un credito del lavoratore nei confronti dell’Erario. In entrambi i casi, è il soggetto indicato nel modello come sostituto d’imposta ad effettuare il conguaglio:</w:t>
      </w:r>
    </w:p>
    <w:p w14:paraId="61309C57" w14:textId="77777777" w:rsidR="002558B3" w:rsidRPr="00CC00D4" w:rsidRDefault="002558B3">
      <w:pPr>
        <w:pStyle w:val="Paragrafoelenco"/>
        <w:numPr>
          <w:ilvl w:val="0"/>
          <w:numId w:val="170"/>
        </w:numPr>
        <w:autoSpaceDN w:val="0"/>
        <w:ind w:left="709" w:hanging="357"/>
        <w:contextualSpacing/>
        <w:textAlignment w:val="baseline"/>
        <w:rPr>
          <w:rFonts w:cs="Tahoma"/>
          <w:szCs w:val="20"/>
        </w:rPr>
      </w:pPr>
      <w:r w:rsidRPr="00CC00D4">
        <w:rPr>
          <w:rFonts w:cs="Tahoma"/>
          <w:szCs w:val="20"/>
        </w:rPr>
        <w:t>A debito, trattenendo per conto dell’Amministrazione Finanziaria le somme dovute dal contribuente;</w:t>
      </w:r>
    </w:p>
    <w:p w14:paraId="20EAA301" w14:textId="77777777" w:rsidR="002558B3" w:rsidRPr="00CC00D4" w:rsidRDefault="002558B3">
      <w:pPr>
        <w:pStyle w:val="Paragrafoelenco"/>
        <w:numPr>
          <w:ilvl w:val="0"/>
          <w:numId w:val="170"/>
        </w:numPr>
        <w:autoSpaceDN w:val="0"/>
        <w:ind w:left="709"/>
        <w:textAlignment w:val="baseline"/>
        <w:rPr>
          <w:rFonts w:cs="Tahoma"/>
          <w:szCs w:val="20"/>
        </w:rPr>
      </w:pPr>
      <w:r w:rsidRPr="00CC00D4">
        <w:rPr>
          <w:rFonts w:cs="Tahoma"/>
          <w:szCs w:val="20"/>
        </w:rPr>
        <w:t>A credito, rimborsando le somme al sostituito.</w:t>
      </w:r>
    </w:p>
    <w:p w14:paraId="647C1854"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Al contrario, in caso di 730 precompilato o ordinario presentato in assenza di sostituto d’imposta:</w:t>
      </w:r>
    </w:p>
    <w:p w14:paraId="07BE4CD9" w14:textId="77777777" w:rsidR="002558B3" w:rsidRPr="00CC00D4" w:rsidRDefault="002558B3">
      <w:pPr>
        <w:pStyle w:val="Paragrafoelenco"/>
        <w:numPr>
          <w:ilvl w:val="0"/>
          <w:numId w:val="169"/>
        </w:numPr>
        <w:autoSpaceDN w:val="0"/>
        <w:ind w:left="709" w:hanging="357"/>
        <w:contextualSpacing/>
        <w:textAlignment w:val="baseline"/>
        <w:rPr>
          <w:rFonts w:cs="Tahoma"/>
          <w:szCs w:val="20"/>
        </w:rPr>
      </w:pPr>
      <w:r w:rsidRPr="00CC00D4">
        <w:rPr>
          <w:rFonts w:cs="Tahoma"/>
          <w:szCs w:val="20"/>
        </w:rPr>
        <w:t>Se dalla dichiarazione emerge un debito il Caf o il professionista “</w:t>
      </w:r>
      <w:r w:rsidRPr="00CC00D4">
        <w:rPr>
          <w:rFonts w:cs="Tahoma"/>
          <w:i/>
          <w:iCs/>
          <w:szCs w:val="20"/>
        </w:rPr>
        <w:t>trasmette il modello F24 in via telematica all’Agenzia delle Entrate</w:t>
      </w:r>
      <w:r w:rsidRPr="00CC00D4">
        <w:rPr>
          <w:rFonts w:cs="Tahoma"/>
          <w:szCs w:val="20"/>
        </w:rPr>
        <w:t>” o in alternativa “</w:t>
      </w:r>
      <w:r w:rsidRPr="00CC00D4">
        <w:rPr>
          <w:rFonts w:cs="Tahoma"/>
          <w:i/>
          <w:iCs/>
          <w:szCs w:val="20"/>
        </w:rPr>
        <w:t>entro il decimo giorno antecedente la scadenza del termine di pagamento, consegna il modello F24 compilato al contribuente che effettua il pagamento</w:t>
      </w:r>
      <w:r w:rsidRPr="00CC00D4">
        <w:rPr>
          <w:rFonts w:cs="Tahoma"/>
          <w:szCs w:val="20"/>
        </w:rPr>
        <w:t>”;</w:t>
      </w:r>
    </w:p>
    <w:p w14:paraId="2A96DDC0" w14:textId="77777777" w:rsidR="002558B3" w:rsidRPr="00CC00D4" w:rsidRDefault="002558B3">
      <w:pPr>
        <w:pStyle w:val="Paragrafoelenco"/>
        <w:numPr>
          <w:ilvl w:val="0"/>
          <w:numId w:val="169"/>
        </w:numPr>
        <w:autoSpaceDN w:val="0"/>
        <w:ind w:left="709" w:hanging="357"/>
        <w:contextualSpacing/>
        <w:textAlignment w:val="baseline"/>
        <w:rPr>
          <w:rFonts w:cs="Tahoma"/>
          <w:szCs w:val="20"/>
        </w:rPr>
      </w:pPr>
      <w:r w:rsidRPr="00CC00D4">
        <w:rPr>
          <w:rFonts w:cs="Tahoma"/>
          <w:szCs w:val="20"/>
        </w:rPr>
        <w:t>In caso di 730 precompilato presentato direttamente all’Agenzia delle Entrate nella “</w:t>
      </w:r>
      <w:r w:rsidRPr="00CC00D4">
        <w:rPr>
          <w:rFonts w:cs="Tahoma"/>
          <w:i/>
          <w:iCs/>
          <w:szCs w:val="20"/>
        </w:rPr>
        <w:t>sezione del sito internet dedicata</w:t>
      </w:r>
      <w:r w:rsidRPr="00CC00D4">
        <w:rPr>
          <w:rFonts w:cs="Tahoma"/>
          <w:szCs w:val="20"/>
        </w:rPr>
        <w:t>” il contribuente può eseguire il pagamento online ovvero stampare il modello F24 per effettuare il pagamento con le modalità ordinarie;</w:t>
      </w:r>
    </w:p>
    <w:p w14:paraId="78C5DC13" w14:textId="77777777" w:rsidR="002558B3" w:rsidRPr="00CC00D4" w:rsidRDefault="002558B3">
      <w:pPr>
        <w:pStyle w:val="Paragrafoelenco"/>
        <w:numPr>
          <w:ilvl w:val="0"/>
          <w:numId w:val="169"/>
        </w:numPr>
        <w:autoSpaceDN w:val="0"/>
        <w:ind w:left="709"/>
        <w:textAlignment w:val="baseline"/>
        <w:rPr>
          <w:rFonts w:cs="Tahoma"/>
          <w:szCs w:val="20"/>
        </w:rPr>
      </w:pPr>
      <w:r w:rsidRPr="00CC00D4">
        <w:rPr>
          <w:rFonts w:cs="Tahoma"/>
          <w:szCs w:val="20"/>
        </w:rPr>
        <w:t>Se dal 730 emerge un credito, il rimborso è effettuato direttamente dall’Amministrazione Finanziaria.</w:t>
      </w:r>
    </w:p>
    <w:p w14:paraId="5998B02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kern w:val="0"/>
          <w:sz w:val="20"/>
          <w:szCs w:val="20"/>
        </w:rPr>
        <w:t>Analizziamo ora il Quadro D, specifico per le prestazioni di lavoro autonomo occasionale.</w:t>
      </w:r>
    </w:p>
    <w:p w14:paraId="51A992C4" w14:textId="77777777" w:rsidR="002558B3" w:rsidRPr="00CC00D4" w:rsidRDefault="002558B3" w:rsidP="002558B3">
      <w:pPr>
        <w:pStyle w:val="Standard"/>
        <w:spacing w:after="200" w:line="360" w:lineRule="auto"/>
        <w:jc w:val="both"/>
        <w:rPr>
          <w:rFonts w:ascii="Tahoma" w:hAnsi="Tahoma" w:cs="Tahoma"/>
          <w:i/>
          <w:kern w:val="0"/>
          <w:sz w:val="20"/>
          <w:szCs w:val="20"/>
          <w:u w:val="single"/>
        </w:rPr>
      </w:pPr>
    </w:p>
    <w:p w14:paraId="71704C8E" w14:textId="188F345C" w:rsidR="002558B3" w:rsidRPr="00CC00D4" w:rsidRDefault="001105A9" w:rsidP="00F64729">
      <w:pPr>
        <w:pStyle w:val="Titolo3"/>
      </w:pPr>
      <w:bookmarkStart w:id="413" w:name="__RefHeading__4606_1479815270"/>
      <w:bookmarkStart w:id="414" w:name="_Toc92386569"/>
      <w:r w:rsidRPr="00CC00D4">
        <w:br w:type="page"/>
      </w:r>
      <w:bookmarkStart w:id="415" w:name="_Toc124266341"/>
      <w:r w:rsidR="002558B3" w:rsidRPr="00CC00D4">
        <w:lastRenderedPageBreak/>
        <w:t>7.3.3 Quadro D</w:t>
      </w:r>
      <w:bookmarkEnd w:id="413"/>
      <w:bookmarkEnd w:id="414"/>
      <w:bookmarkEnd w:id="415"/>
    </w:p>
    <w:p w14:paraId="7C35DE3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Il Quadro D è diviso in due sezioni:</w:t>
      </w:r>
    </w:p>
    <w:p w14:paraId="399BD7B3" w14:textId="77777777" w:rsidR="002558B3" w:rsidRPr="00CC00D4" w:rsidRDefault="002558B3">
      <w:pPr>
        <w:pStyle w:val="Paragrafoelenco"/>
        <w:numPr>
          <w:ilvl w:val="0"/>
          <w:numId w:val="168"/>
        </w:numPr>
        <w:autoSpaceDN w:val="0"/>
        <w:ind w:left="709" w:hanging="357"/>
        <w:contextualSpacing/>
        <w:textAlignment w:val="baseline"/>
        <w:rPr>
          <w:rFonts w:cs="Tahoma"/>
          <w:szCs w:val="20"/>
        </w:rPr>
      </w:pPr>
      <w:r w:rsidRPr="00CC00D4">
        <w:rPr>
          <w:rFonts w:cs="Tahoma"/>
          <w:bCs/>
          <w:szCs w:val="20"/>
        </w:rPr>
        <w:t>La prima contenente i redditi di capitale, i redditi di lavoro autonomo e quelli diversi;</w:t>
      </w:r>
    </w:p>
    <w:p w14:paraId="2AAECC83" w14:textId="77777777" w:rsidR="002558B3" w:rsidRPr="00CC00D4" w:rsidRDefault="002558B3">
      <w:pPr>
        <w:pStyle w:val="Paragrafoelenco"/>
        <w:numPr>
          <w:ilvl w:val="0"/>
          <w:numId w:val="168"/>
        </w:numPr>
        <w:autoSpaceDN w:val="0"/>
        <w:ind w:left="709"/>
        <w:textAlignment w:val="baseline"/>
        <w:rPr>
          <w:rFonts w:cs="Tahoma"/>
          <w:szCs w:val="20"/>
        </w:rPr>
      </w:pPr>
      <w:r w:rsidRPr="00CC00D4">
        <w:rPr>
          <w:rFonts w:cs="Tahoma"/>
          <w:bCs/>
          <w:szCs w:val="20"/>
        </w:rPr>
        <w:t>Nella seconda i redditi soggetti a tassazione separata.</w:t>
      </w:r>
    </w:p>
    <w:p w14:paraId="0EE8994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 compensi di lavoro autonomo occasionale ricavati dalle Certificazioni Uniche sono indicati nel rigo D5 con il codice 2 “</w:t>
      </w:r>
      <w:r w:rsidRPr="00CC00D4">
        <w:rPr>
          <w:rFonts w:ascii="Tahoma" w:hAnsi="Tahoma" w:cs="Tahoma"/>
          <w:bCs/>
          <w:i/>
          <w:kern w:val="0"/>
          <w:sz w:val="20"/>
          <w:szCs w:val="20"/>
        </w:rPr>
        <w:t>Redditi derivanti da attività di lavoro autonomo occasionale</w:t>
      </w:r>
      <w:r w:rsidRPr="00CC00D4">
        <w:rPr>
          <w:rFonts w:ascii="Tahoma" w:hAnsi="Tahoma" w:cs="Tahoma"/>
          <w:bCs/>
          <w:kern w:val="0"/>
          <w:sz w:val="20"/>
          <w:szCs w:val="20"/>
        </w:rPr>
        <w:t>” in base alla tabella di raccordo con la causale “M” indicata nel punto 1 della CU.</w:t>
      </w:r>
    </w:p>
    <w:p w14:paraId="0C4E0567"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Le altre ipotesi sono:</w:t>
      </w:r>
    </w:p>
    <w:p w14:paraId="2831FF82" w14:textId="77777777" w:rsidR="002558B3" w:rsidRPr="00CC00D4" w:rsidRDefault="002558B3">
      <w:pPr>
        <w:pStyle w:val="Paragrafoelenco"/>
        <w:numPr>
          <w:ilvl w:val="0"/>
          <w:numId w:val="167"/>
        </w:numPr>
        <w:autoSpaceDN w:val="0"/>
        <w:ind w:left="709" w:hanging="357"/>
        <w:contextualSpacing/>
        <w:textAlignment w:val="baseline"/>
        <w:rPr>
          <w:rFonts w:cs="Tahoma"/>
          <w:szCs w:val="20"/>
        </w:rPr>
      </w:pPr>
      <w:r w:rsidRPr="00CC00D4">
        <w:rPr>
          <w:rFonts w:cs="Tahoma"/>
          <w:bCs/>
          <w:szCs w:val="20"/>
        </w:rPr>
        <w:t>D5 codice 3 raccordo con causale CU “M1” per “</w:t>
      </w:r>
      <w:r w:rsidRPr="00CC00D4">
        <w:rPr>
          <w:rFonts w:cs="Tahoma"/>
          <w:bCs/>
          <w:i/>
          <w:szCs w:val="20"/>
        </w:rPr>
        <w:t>Redditi derivanti dall’assunzione di obblighi di fare, non fare, permettere</w:t>
      </w:r>
      <w:r w:rsidRPr="00CC00D4">
        <w:rPr>
          <w:rFonts w:cs="Tahoma"/>
          <w:bCs/>
          <w:szCs w:val="20"/>
        </w:rPr>
        <w:t>”;</w:t>
      </w:r>
    </w:p>
    <w:p w14:paraId="2123F5D2" w14:textId="77777777" w:rsidR="002558B3" w:rsidRPr="00CC00D4" w:rsidRDefault="002558B3">
      <w:pPr>
        <w:pStyle w:val="Paragrafoelenco"/>
        <w:numPr>
          <w:ilvl w:val="0"/>
          <w:numId w:val="167"/>
        </w:numPr>
        <w:autoSpaceDN w:val="0"/>
        <w:ind w:left="709" w:hanging="357"/>
        <w:contextualSpacing/>
        <w:textAlignment w:val="baseline"/>
        <w:rPr>
          <w:rFonts w:cs="Tahoma"/>
          <w:szCs w:val="20"/>
        </w:rPr>
      </w:pPr>
      <w:r w:rsidRPr="00CC00D4">
        <w:rPr>
          <w:rFonts w:cs="Tahoma"/>
          <w:bCs/>
          <w:szCs w:val="20"/>
        </w:rPr>
        <w:t xml:space="preserve">D5 codice 2 raccordo con causale CU “O” per </w:t>
      </w:r>
      <w:r w:rsidRPr="00CC00D4">
        <w:rPr>
          <w:rFonts w:cs="Tahoma"/>
          <w:bCs/>
          <w:i/>
          <w:szCs w:val="20"/>
        </w:rPr>
        <w:t>Redditi derivanti da attività di lavoro autonomo occasionale, per le quali non sussiste l’obbligo di iscrizione alla gestione (Cir. INPS n. 104/2001)</w:t>
      </w:r>
      <w:r w:rsidRPr="00CC00D4">
        <w:rPr>
          <w:rFonts w:cs="Tahoma"/>
          <w:bCs/>
          <w:szCs w:val="20"/>
        </w:rPr>
        <w:t>”;</w:t>
      </w:r>
    </w:p>
    <w:p w14:paraId="7B9A39B9" w14:textId="77777777" w:rsidR="002558B3" w:rsidRPr="00CC00D4" w:rsidRDefault="002558B3">
      <w:pPr>
        <w:pStyle w:val="Paragrafoelenco"/>
        <w:numPr>
          <w:ilvl w:val="0"/>
          <w:numId w:val="167"/>
        </w:numPr>
        <w:autoSpaceDN w:val="0"/>
        <w:ind w:left="709"/>
        <w:textAlignment w:val="baseline"/>
        <w:rPr>
          <w:rFonts w:cs="Tahoma"/>
          <w:szCs w:val="20"/>
        </w:rPr>
      </w:pPr>
      <w:r w:rsidRPr="00CC00D4">
        <w:rPr>
          <w:rFonts w:cs="Tahoma"/>
          <w:bCs/>
          <w:szCs w:val="20"/>
        </w:rPr>
        <w:t>D5 codice 3 raccordo con causale CU “O1” per “</w:t>
      </w:r>
      <w:r w:rsidRPr="00CC00D4">
        <w:rPr>
          <w:rFonts w:cs="Tahoma"/>
          <w:bCs/>
          <w:i/>
          <w:szCs w:val="20"/>
        </w:rPr>
        <w:t>Redditi derivanti dall’assunzione di obblighi di fare, non fare, permettere, per le quali non sussiste l’obbligo di iscrizione alla gestione separata (Cir. INPS n. 104/2001)</w:t>
      </w:r>
      <w:r w:rsidRPr="00CC00D4">
        <w:rPr>
          <w:rFonts w:cs="Tahoma"/>
          <w:bCs/>
          <w:szCs w:val="20"/>
        </w:rPr>
        <w:t>”.</w:t>
      </w:r>
    </w:p>
    <w:p w14:paraId="66A57680"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generale, pertanto, nel rigo D5 devono essere indicati i redditi derivanti:</w:t>
      </w:r>
    </w:p>
    <w:p w14:paraId="74BFF5EC" w14:textId="77777777" w:rsidR="002558B3" w:rsidRPr="00CC00D4" w:rsidRDefault="002558B3">
      <w:pPr>
        <w:pStyle w:val="Paragrafoelenco"/>
        <w:numPr>
          <w:ilvl w:val="0"/>
          <w:numId w:val="166"/>
        </w:numPr>
        <w:autoSpaceDN w:val="0"/>
        <w:ind w:left="709" w:hanging="357"/>
        <w:contextualSpacing/>
        <w:textAlignment w:val="baseline"/>
        <w:rPr>
          <w:rFonts w:cs="Tahoma"/>
          <w:szCs w:val="20"/>
        </w:rPr>
      </w:pPr>
      <w:r w:rsidRPr="00CC00D4">
        <w:rPr>
          <w:rFonts w:cs="Tahoma"/>
          <w:bCs/>
          <w:szCs w:val="20"/>
        </w:rPr>
        <w:t>Da attività commerciali;</w:t>
      </w:r>
    </w:p>
    <w:p w14:paraId="034A4E62" w14:textId="77777777" w:rsidR="002558B3" w:rsidRPr="00CC00D4" w:rsidRDefault="002558B3">
      <w:pPr>
        <w:pStyle w:val="Paragrafoelenco"/>
        <w:numPr>
          <w:ilvl w:val="0"/>
          <w:numId w:val="166"/>
        </w:numPr>
        <w:autoSpaceDN w:val="0"/>
        <w:ind w:left="709" w:hanging="357"/>
        <w:contextualSpacing/>
        <w:textAlignment w:val="baseline"/>
        <w:rPr>
          <w:rFonts w:cs="Tahoma"/>
          <w:szCs w:val="20"/>
        </w:rPr>
      </w:pPr>
      <w:r w:rsidRPr="00CC00D4">
        <w:rPr>
          <w:rFonts w:cs="Tahoma"/>
          <w:bCs/>
          <w:szCs w:val="20"/>
        </w:rPr>
        <w:t>Da attività di lavoro autonomo non esercitate abitualmente;</w:t>
      </w:r>
    </w:p>
    <w:p w14:paraId="54ADAB97" w14:textId="77777777" w:rsidR="002558B3" w:rsidRPr="00CC00D4" w:rsidRDefault="002558B3">
      <w:pPr>
        <w:pStyle w:val="Paragrafoelenco"/>
        <w:numPr>
          <w:ilvl w:val="0"/>
          <w:numId w:val="166"/>
        </w:numPr>
        <w:autoSpaceDN w:val="0"/>
        <w:ind w:left="709"/>
        <w:textAlignment w:val="baseline"/>
        <w:rPr>
          <w:rFonts w:cs="Tahoma"/>
          <w:szCs w:val="20"/>
        </w:rPr>
      </w:pPr>
      <w:r w:rsidRPr="00CC00D4">
        <w:rPr>
          <w:rFonts w:cs="Tahoma"/>
          <w:bCs/>
          <w:szCs w:val="20"/>
        </w:rPr>
        <w:t>Dalla assunzione di obblighi di fare, non fare o permettere.</w:t>
      </w:r>
    </w:p>
    <w:p w14:paraId="259C9D38"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Nella colonna:</w:t>
      </w:r>
    </w:p>
    <w:p w14:paraId="04484444" w14:textId="77777777" w:rsidR="002558B3" w:rsidRPr="00CC00D4" w:rsidRDefault="002558B3">
      <w:pPr>
        <w:pStyle w:val="Paragrafoelenco"/>
        <w:numPr>
          <w:ilvl w:val="0"/>
          <w:numId w:val="165"/>
        </w:numPr>
        <w:autoSpaceDN w:val="0"/>
        <w:ind w:left="709" w:hanging="357"/>
        <w:contextualSpacing/>
        <w:textAlignment w:val="baseline"/>
        <w:rPr>
          <w:rFonts w:cs="Tahoma"/>
          <w:szCs w:val="20"/>
        </w:rPr>
      </w:pPr>
      <w:r w:rsidRPr="00CC00D4">
        <w:rPr>
          <w:rFonts w:cs="Tahoma"/>
          <w:bCs/>
          <w:szCs w:val="20"/>
        </w:rPr>
        <w:t>1 “</w:t>
      </w:r>
      <w:r w:rsidRPr="00CC00D4">
        <w:rPr>
          <w:rFonts w:cs="Tahoma"/>
          <w:bCs/>
          <w:i/>
          <w:szCs w:val="20"/>
        </w:rPr>
        <w:t>tipo di reddito</w:t>
      </w:r>
      <w:r w:rsidRPr="00CC00D4">
        <w:rPr>
          <w:rFonts w:cs="Tahoma"/>
          <w:bCs/>
          <w:szCs w:val="20"/>
        </w:rPr>
        <w:t>” il codice 2 è quello relativo ai redditi da lavoro autonomo occasionale contraddistinti dalle lettere “M”, “M2”, “O” nel punto 1 della CU;</w:t>
      </w:r>
    </w:p>
    <w:p w14:paraId="636F8CCA" w14:textId="77777777" w:rsidR="002558B3" w:rsidRPr="00CC00D4" w:rsidRDefault="002558B3">
      <w:pPr>
        <w:pStyle w:val="Paragrafoelenco"/>
        <w:numPr>
          <w:ilvl w:val="0"/>
          <w:numId w:val="165"/>
        </w:numPr>
        <w:autoSpaceDN w:val="0"/>
        <w:ind w:left="709" w:hanging="357"/>
        <w:contextualSpacing/>
        <w:textAlignment w:val="baseline"/>
        <w:rPr>
          <w:rFonts w:cs="Tahoma"/>
          <w:szCs w:val="20"/>
        </w:rPr>
      </w:pPr>
      <w:r w:rsidRPr="00CC00D4">
        <w:rPr>
          <w:rFonts w:cs="Tahoma"/>
          <w:bCs/>
          <w:szCs w:val="20"/>
        </w:rPr>
        <w:t>2 “</w:t>
      </w:r>
      <w:r w:rsidRPr="00CC00D4">
        <w:rPr>
          <w:rFonts w:cs="Tahoma"/>
          <w:bCs/>
          <w:i/>
          <w:szCs w:val="20"/>
        </w:rPr>
        <w:t>redditi</w:t>
      </w:r>
      <w:r w:rsidRPr="00CC00D4">
        <w:rPr>
          <w:rFonts w:cs="Tahoma"/>
          <w:bCs/>
          <w:szCs w:val="20"/>
        </w:rPr>
        <w:t>” è necessario riportare il reddito lordo percepito nel periodo di competenza;</w:t>
      </w:r>
    </w:p>
    <w:p w14:paraId="4979020A" w14:textId="77777777" w:rsidR="002558B3" w:rsidRPr="00CC00D4" w:rsidRDefault="002558B3">
      <w:pPr>
        <w:pStyle w:val="Paragrafoelenco"/>
        <w:numPr>
          <w:ilvl w:val="0"/>
          <w:numId w:val="165"/>
        </w:numPr>
        <w:autoSpaceDN w:val="0"/>
        <w:ind w:left="709" w:hanging="357"/>
        <w:contextualSpacing/>
        <w:textAlignment w:val="baseline"/>
        <w:rPr>
          <w:rFonts w:cs="Tahoma"/>
          <w:szCs w:val="20"/>
        </w:rPr>
      </w:pPr>
      <w:r w:rsidRPr="00CC00D4">
        <w:rPr>
          <w:rFonts w:cs="Tahoma"/>
          <w:bCs/>
          <w:szCs w:val="20"/>
        </w:rPr>
        <w:t>3 “</w:t>
      </w:r>
      <w:r w:rsidRPr="00CC00D4">
        <w:rPr>
          <w:rFonts w:cs="Tahoma"/>
          <w:bCs/>
          <w:i/>
          <w:szCs w:val="20"/>
        </w:rPr>
        <w:t>spese</w:t>
      </w:r>
      <w:r w:rsidRPr="00CC00D4">
        <w:rPr>
          <w:rFonts w:cs="Tahoma"/>
          <w:bCs/>
          <w:szCs w:val="20"/>
        </w:rPr>
        <w:t>” riguardante le “</w:t>
      </w:r>
      <w:r w:rsidRPr="00CC00D4">
        <w:rPr>
          <w:rFonts w:cs="Tahoma"/>
          <w:bCs/>
          <w:i/>
          <w:szCs w:val="20"/>
        </w:rPr>
        <w:t>spese inerenti la produzione dei redditi</w:t>
      </w:r>
      <w:r w:rsidRPr="00CC00D4">
        <w:rPr>
          <w:rFonts w:cs="Tahoma"/>
          <w:bCs/>
          <w:szCs w:val="20"/>
        </w:rPr>
        <w:t>”;</w:t>
      </w:r>
    </w:p>
    <w:p w14:paraId="42501F9C" w14:textId="77777777" w:rsidR="002558B3" w:rsidRPr="00CC00D4" w:rsidRDefault="002558B3">
      <w:pPr>
        <w:pStyle w:val="Paragrafoelenco"/>
        <w:numPr>
          <w:ilvl w:val="0"/>
          <w:numId w:val="165"/>
        </w:numPr>
        <w:autoSpaceDN w:val="0"/>
        <w:ind w:left="709"/>
        <w:textAlignment w:val="baseline"/>
        <w:rPr>
          <w:rFonts w:cs="Tahoma"/>
          <w:szCs w:val="20"/>
        </w:rPr>
      </w:pPr>
      <w:r w:rsidRPr="00CC00D4">
        <w:rPr>
          <w:rFonts w:cs="Tahoma"/>
          <w:bCs/>
          <w:szCs w:val="20"/>
        </w:rPr>
        <w:t>4 “</w:t>
      </w:r>
      <w:r w:rsidRPr="00CC00D4">
        <w:rPr>
          <w:rFonts w:cs="Tahoma"/>
          <w:bCs/>
          <w:i/>
          <w:szCs w:val="20"/>
        </w:rPr>
        <w:t>ritenute</w:t>
      </w:r>
      <w:r w:rsidRPr="00CC00D4">
        <w:rPr>
          <w:rFonts w:cs="Tahoma"/>
          <w:bCs/>
          <w:szCs w:val="20"/>
        </w:rPr>
        <w:t>” con l’importo delle ritenute d’acconto subite.</w:t>
      </w:r>
    </w:p>
    <w:p w14:paraId="16D985AE"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merito alla colonna 3 le istruzioni precisano che le spese e gli oneri da indicare “</w:t>
      </w:r>
      <w:r w:rsidRPr="00CC00D4">
        <w:rPr>
          <w:rFonts w:ascii="Tahoma" w:hAnsi="Tahoma" w:cs="Tahoma"/>
          <w:bCs/>
          <w:i/>
          <w:kern w:val="0"/>
          <w:sz w:val="20"/>
          <w:szCs w:val="20"/>
        </w:rPr>
        <w:t xml:space="preserve">non possono superare in ogni caso i relativi corrispettivi e, nell’ambito di ciascun corrispettivo, quelli sostenuti per ognuna delle operazioni eseguite. Il contribuente è tenuto a compilare e a conservare un apposito prospetto nel quale è indicato, per ciascuno dei redditi per ognuna delle operazioni eseguite, l’importo lordo dei corrispettivi, l’importo delle spese inerenti a ciascuna delle operazioni stesse e il reddito conseguito. Questo prospetto, se </w:t>
      </w:r>
      <w:r w:rsidRPr="00CC00D4">
        <w:rPr>
          <w:rFonts w:ascii="Tahoma" w:hAnsi="Tahoma" w:cs="Tahoma"/>
          <w:bCs/>
          <w:i/>
          <w:kern w:val="0"/>
          <w:sz w:val="20"/>
          <w:szCs w:val="20"/>
        </w:rPr>
        <w:lastRenderedPageBreak/>
        <w:t>richiesto, dovrà essere esibito o trasmesso all’ufficio dell’Agenzia delle Entrate competente</w:t>
      </w:r>
      <w:r w:rsidRPr="00CC00D4">
        <w:rPr>
          <w:rFonts w:ascii="Tahoma" w:hAnsi="Tahoma" w:cs="Tahoma"/>
          <w:bCs/>
          <w:kern w:val="0"/>
          <w:sz w:val="20"/>
          <w:szCs w:val="20"/>
        </w:rPr>
        <w:t>”.</w:t>
      </w:r>
    </w:p>
    <w:p w14:paraId="31EA2E2B" w14:textId="77777777" w:rsidR="002558B3" w:rsidRPr="00CC00D4" w:rsidRDefault="002558B3" w:rsidP="002558B3">
      <w:pPr>
        <w:pStyle w:val="Standard"/>
        <w:spacing w:after="200" w:line="360" w:lineRule="auto"/>
        <w:jc w:val="both"/>
        <w:rPr>
          <w:rFonts w:ascii="Tahoma" w:hAnsi="Tahoma" w:cs="Tahoma"/>
          <w:bCs/>
          <w:i/>
          <w:iCs/>
          <w:kern w:val="0"/>
          <w:sz w:val="20"/>
          <w:szCs w:val="20"/>
          <w:u w:val="single"/>
        </w:rPr>
      </w:pPr>
    </w:p>
    <w:p w14:paraId="7FF9E5CF" w14:textId="5CFC3997" w:rsidR="002558B3" w:rsidRPr="00CC00D4" w:rsidRDefault="002558B3" w:rsidP="002136CC">
      <w:pPr>
        <w:pStyle w:val="Titolo3"/>
        <w:rPr>
          <w:u w:val="none"/>
        </w:rPr>
      </w:pPr>
      <w:bookmarkStart w:id="416" w:name="__RefHeading__4608_1479815270"/>
      <w:bookmarkStart w:id="417" w:name="_Toc92386570"/>
      <w:bookmarkStart w:id="418" w:name="_Toc124266342"/>
      <w:r w:rsidRPr="00CC00D4">
        <w:t>7.3.4 Casi di esonero</w:t>
      </w:r>
      <w:bookmarkEnd w:id="416"/>
      <w:bookmarkEnd w:id="417"/>
      <w:bookmarkEnd w:id="418"/>
    </w:p>
    <w:p w14:paraId="30F22D4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esonerati dall’obbligo di presentare la dichiarazione i contribuenti che possiedono esclusivamente le seguenti tipologie reddituali:</w:t>
      </w:r>
    </w:p>
    <w:p w14:paraId="55BF2EF1" w14:textId="77777777" w:rsidR="002558B3" w:rsidRPr="00CC00D4" w:rsidRDefault="002558B3">
      <w:pPr>
        <w:pStyle w:val="Paragrafoelenco"/>
        <w:numPr>
          <w:ilvl w:val="0"/>
          <w:numId w:val="34"/>
        </w:numPr>
        <w:autoSpaceDN w:val="0"/>
        <w:ind w:left="709" w:hanging="357"/>
        <w:contextualSpacing/>
        <w:textAlignment w:val="baseline"/>
        <w:rPr>
          <w:rFonts w:cs="Tahoma"/>
          <w:szCs w:val="20"/>
        </w:rPr>
      </w:pPr>
      <w:r w:rsidRPr="00CC00D4">
        <w:rPr>
          <w:rFonts w:cs="Tahoma"/>
          <w:bCs/>
          <w:szCs w:val="20"/>
        </w:rPr>
        <w:t>Abitazione principale, relative pertinenze e altri fabbricati non locati;</w:t>
      </w:r>
    </w:p>
    <w:p w14:paraId="2278B7F5" w14:textId="77777777" w:rsidR="002558B3" w:rsidRPr="00CC00D4" w:rsidRDefault="002558B3">
      <w:pPr>
        <w:pStyle w:val="Paragrafoelenco"/>
        <w:numPr>
          <w:ilvl w:val="0"/>
          <w:numId w:val="34"/>
        </w:numPr>
        <w:autoSpaceDN w:val="0"/>
        <w:ind w:left="709" w:hanging="357"/>
        <w:contextualSpacing/>
        <w:textAlignment w:val="baseline"/>
        <w:rPr>
          <w:rFonts w:cs="Tahoma"/>
          <w:szCs w:val="20"/>
        </w:rPr>
      </w:pPr>
      <w:r w:rsidRPr="00CC00D4">
        <w:rPr>
          <w:rFonts w:cs="Tahoma"/>
          <w:bCs/>
          <w:szCs w:val="20"/>
        </w:rPr>
        <w:t>Redditi esenti;</w:t>
      </w:r>
    </w:p>
    <w:p w14:paraId="0C35F4C5" w14:textId="77777777" w:rsidR="002558B3" w:rsidRPr="00CC00D4" w:rsidRDefault="002558B3">
      <w:pPr>
        <w:pStyle w:val="Paragrafoelenco"/>
        <w:numPr>
          <w:ilvl w:val="0"/>
          <w:numId w:val="34"/>
        </w:numPr>
        <w:autoSpaceDN w:val="0"/>
        <w:ind w:left="709" w:hanging="357"/>
        <w:contextualSpacing/>
        <w:textAlignment w:val="baseline"/>
        <w:rPr>
          <w:rFonts w:cs="Tahoma"/>
          <w:szCs w:val="20"/>
        </w:rPr>
      </w:pPr>
      <w:r w:rsidRPr="00CC00D4">
        <w:rPr>
          <w:rFonts w:cs="Tahoma"/>
          <w:bCs/>
          <w:szCs w:val="20"/>
        </w:rPr>
        <w:t>Redditi soggetti ad imposta sostitutiva (diversi da quelli soggetti a cedolare secca);</w:t>
      </w:r>
    </w:p>
    <w:p w14:paraId="0CFBD6FA" w14:textId="77777777" w:rsidR="002558B3" w:rsidRPr="00CC00D4" w:rsidRDefault="002558B3">
      <w:pPr>
        <w:pStyle w:val="Paragrafoelenco"/>
        <w:numPr>
          <w:ilvl w:val="0"/>
          <w:numId w:val="34"/>
        </w:numPr>
        <w:autoSpaceDN w:val="0"/>
        <w:ind w:left="709"/>
        <w:textAlignment w:val="baseline"/>
        <w:rPr>
          <w:rFonts w:cs="Tahoma"/>
          <w:szCs w:val="20"/>
        </w:rPr>
      </w:pPr>
      <w:r w:rsidRPr="00CC00D4">
        <w:rPr>
          <w:rFonts w:cs="Tahoma"/>
          <w:bCs/>
          <w:szCs w:val="20"/>
        </w:rPr>
        <w:t>Redditi soggetti a ritenuta alla fonte a titolo di imposta.</w:t>
      </w:r>
    </w:p>
    <w:p w14:paraId="3472EB25"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Sono altresì ricompresi i:</w:t>
      </w:r>
    </w:p>
    <w:p w14:paraId="37B3B85E" w14:textId="77777777" w:rsidR="002558B3" w:rsidRPr="00CC00D4" w:rsidRDefault="002558B3">
      <w:pPr>
        <w:pStyle w:val="Paragrafoelenco"/>
        <w:numPr>
          <w:ilvl w:val="0"/>
          <w:numId w:val="31"/>
        </w:numPr>
        <w:autoSpaceDN w:val="0"/>
        <w:ind w:left="709" w:hanging="357"/>
        <w:contextualSpacing/>
        <w:textAlignment w:val="baseline"/>
        <w:rPr>
          <w:rFonts w:cs="Tahoma"/>
          <w:szCs w:val="20"/>
        </w:rPr>
      </w:pPr>
      <w:r w:rsidRPr="00CC00D4">
        <w:rPr>
          <w:rFonts w:cs="Tahoma"/>
          <w:bCs/>
          <w:szCs w:val="20"/>
        </w:rPr>
        <w:t>Redditi da lavoro dipendente o pensione;</w:t>
      </w:r>
    </w:p>
    <w:p w14:paraId="04B4C465" w14:textId="77777777" w:rsidR="002558B3" w:rsidRPr="00CC00D4" w:rsidRDefault="002558B3">
      <w:pPr>
        <w:pStyle w:val="Paragrafoelenco"/>
        <w:numPr>
          <w:ilvl w:val="0"/>
          <w:numId w:val="31"/>
        </w:numPr>
        <w:autoSpaceDN w:val="0"/>
        <w:ind w:left="709" w:hanging="357"/>
        <w:contextualSpacing/>
        <w:textAlignment w:val="baseline"/>
        <w:rPr>
          <w:rFonts w:cs="Tahoma"/>
          <w:szCs w:val="20"/>
        </w:rPr>
      </w:pPr>
      <w:r w:rsidRPr="00CC00D4">
        <w:rPr>
          <w:rFonts w:cs="Tahoma"/>
          <w:bCs/>
          <w:szCs w:val="20"/>
        </w:rPr>
        <w:t>Redditi da lavoro dipendente o pensione più abitazione principale, relative pertinenze ed altri fabbricati non locati;</w:t>
      </w:r>
    </w:p>
    <w:p w14:paraId="25DF0CCB" w14:textId="77777777" w:rsidR="002558B3" w:rsidRPr="00CC00D4" w:rsidRDefault="002558B3">
      <w:pPr>
        <w:pStyle w:val="Paragrafoelenco"/>
        <w:numPr>
          <w:ilvl w:val="0"/>
          <w:numId w:val="31"/>
        </w:numPr>
        <w:autoSpaceDN w:val="0"/>
        <w:ind w:left="709"/>
        <w:textAlignment w:val="baseline"/>
        <w:rPr>
          <w:rFonts w:cs="Tahoma"/>
          <w:szCs w:val="20"/>
        </w:rPr>
      </w:pPr>
      <w:r w:rsidRPr="00CC00D4">
        <w:rPr>
          <w:rFonts w:cs="Tahoma"/>
          <w:bCs/>
          <w:szCs w:val="20"/>
        </w:rPr>
        <w:t>Rapporti di collaborazione coordinata e continuativa;</w:t>
      </w:r>
    </w:p>
    <w:p w14:paraId="78FA80C3"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patto che:</w:t>
      </w:r>
    </w:p>
    <w:p w14:paraId="3D2AC1CF" w14:textId="77777777" w:rsidR="002558B3" w:rsidRPr="00CC00D4" w:rsidRDefault="002558B3">
      <w:pPr>
        <w:pStyle w:val="Paragrafoelenco"/>
        <w:numPr>
          <w:ilvl w:val="0"/>
          <w:numId w:val="32"/>
        </w:numPr>
        <w:autoSpaceDN w:val="0"/>
        <w:ind w:left="709" w:hanging="357"/>
        <w:contextualSpacing/>
        <w:textAlignment w:val="baseline"/>
        <w:rPr>
          <w:rFonts w:cs="Tahoma"/>
          <w:szCs w:val="20"/>
        </w:rPr>
      </w:pPr>
      <w:r w:rsidRPr="00CC00D4">
        <w:rPr>
          <w:rFonts w:cs="Tahoma"/>
          <w:bCs/>
          <w:szCs w:val="20"/>
        </w:rPr>
        <w:t>I redditi appena citati siano stati corrisposti da un unico sostituto d’imposta tenuto ad effettuare le ritenute fiscali a titolo di acconto ovvero da più sostituti purché le somme siano certificate dall’ultimo soggetto che ha effettuato il conguaglio;</w:t>
      </w:r>
    </w:p>
    <w:p w14:paraId="2C59FD8A" w14:textId="77777777" w:rsidR="002558B3" w:rsidRPr="00CC00D4" w:rsidRDefault="002558B3">
      <w:pPr>
        <w:pStyle w:val="Paragrafoelenco"/>
        <w:numPr>
          <w:ilvl w:val="0"/>
          <w:numId w:val="32"/>
        </w:numPr>
        <w:autoSpaceDN w:val="0"/>
        <w:ind w:left="709"/>
        <w:textAlignment w:val="baseline"/>
        <w:rPr>
          <w:rFonts w:cs="Tahoma"/>
          <w:szCs w:val="20"/>
        </w:rPr>
      </w:pPr>
      <w:r w:rsidRPr="00CC00D4">
        <w:rPr>
          <w:rFonts w:cs="Tahoma"/>
          <w:bCs/>
          <w:szCs w:val="20"/>
        </w:rPr>
        <w:t>Le detrazioni per familiari a carico e coniuge siano effettivamente spettanti e non sono dovute addizionali regionali e comunali.</w:t>
      </w:r>
    </w:p>
    <w:p w14:paraId="13605AB9" w14:textId="77777777" w:rsidR="002558B3" w:rsidRPr="00CC00D4" w:rsidRDefault="001105A9"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È</w:t>
      </w:r>
      <w:r w:rsidR="002558B3" w:rsidRPr="00CC00D4">
        <w:rPr>
          <w:rFonts w:ascii="Tahoma" w:hAnsi="Tahoma" w:cs="Tahoma"/>
          <w:bCs/>
          <w:kern w:val="0"/>
          <w:sz w:val="20"/>
          <w:szCs w:val="20"/>
        </w:rPr>
        <w:t xml:space="preserve"> altresì esonerato il contribuente che possiede esclusivamente:</w:t>
      </w:r>
    </w:p>
    <w:p w14:paraId="72851889" w14:textId="77777777" w:rsidR="002558B3" w:rsidRPr="00CC00D4" w:rsidRDefault="002558B3">
      <w:pPr>
        <w:pStyle w:val="Paragrafoelenco"/>
        <w:numPr>
          <w:ilvl w:val="0"/>
          <w:numId w:val="33"/>
        </w:numPr>
        <w:autoSpaceDN w:val="0"/>
        <w:ind w:left="709" w:hanging="357"/>
        <w:contextualSpacing/>
        <w:textAlignment w:val="baseline"/>
        <w:rPr>
          <w:rFonts w:cs="Tahoma"/>
          <w:szCs w:val="20"/>
        </w:rPr>
      </w:pPr>
      <w:r w:rsidRPr="00CC00D4">
        <w:rPr>
          <w:rFonts w:cs="Tahoma"/>
          <w:bCs/>
          <w:szCs w:val="20"/>
        </w:rPr>
        <w:t>Redditi uguali o inferiori a 500 euro da terreni e / o fabbricati (compresa l’abitazione principale e le sue pertinenze);</w:t>
      </w:r>
    </w:p>
    <w:p w14:paraId="770B3BD9" w14:textId="77777777" w:rsidR="002558B3" w:rsidRPr="00CC00D4" w:rsidRDefault="002558B3">
      <w:pPr>
        <w:pStyle w:val="Paragrafoelenco"/>
        <w:numPr>
          <w:ilvl w:val="0"/>
          <w:numId w:val="33"/>
        </w:numPr>
        <w:autoSpaceDN w:val="0"/>
        <w:ind w:left="709" w:hanging="357"/>
        <w:contextualSpacing/>
        <w:textAlignment w:val="baseline"/>
        <w:rPr>
          <w:rFonts w:cs="Tahoma"/>
          <w:szCs w:val="20"/>
        </w:rPr>
      </w:pPr>
      <w:r w:rsidRPr="00CC00D4">
        <w:rPr>
          <w:rFonts w:cs="Tahoma"/>
          <w:bCs/>
          <w:szCs w:val="20"/>
        </w:rPr>
        <w:t>Redditi da lavoro dipendente o assimilato (più altre tipologie di reddito con esclusione di quello derivante dall’abitazione principale e sue pertinenze) pari o inferiore a 8 mila euro;</w:t>
      </w:r>
    </w:p>
    <w:p w14:paraId="0503EC3F" w14:textId="77777777" w:rsidR="002558B3" w:rsidRPr="00CC00D4" w:rsidRDefault="002558B3">
      <w:pPr>
        <w:pStyle w:val="Paragrafoelenco"/>
        <w:numPr>
          <w:ilvl w:val="0"/>
          <w:numId w:val="33"/>
        </w:numPr>
        <w:autoSpaceDN w:val="0"/>
        <w:ind w:left="709" w:hanging="357"/>
        <w:contextualSpacing/>
        <w:textAlignment w:val="baseline"/>
        <w:rPr>
          <w:rFonts w:cs="Tahoma"/>
          <w:szCs w:val="20"/>
        </w:rPr>
      </w:pPr>
      <w:r w:rsidRPr="00CC00D4">
        <w:rPr>
          <w:rFonts w:cs="Tahoma"/>
          <w:bCs/>
          <w:szCs w:val="20"/>
        </w:rPr>
        <w:t>Redditi da pensione (più altre tipologie di reddito con esclusione di quello derivante dall’abitazione principale e sue pertinenze) pari o inferiore a 8 mila euro;</w:t>
      </w:r>
    </w:p>
    <w:p w14:paraId="028ADC78" w14:textId="77777777" w:rsidR="002558B3" w:rsidRPr="00CC00D4" w:rsidRDefault="002558B3">
      <w:pPr>
        <w:pStyle w:val="Paragrafoelenco"/>
        <w:numPr>
          <w:ilvl w:val="0"/>
          <w:numId w:val="33"/>
        </w:numPr>
        <w:autoSpaceDN w:val="0"/>
        <w:ind w:left="709" w:hanging="357"/>
        <w:contextualSpacing/>
        <w:textAlignment w:val="baseline"/>
        <w:rPr>
          <w:rFonts w:cs="Tahoma"/>
          <w:szCs w:val="20"/>
        </w:rPr>
      </w:pPr>
      <w:r w:rsidRPr="00CC00D4">
        <w:rPr>
          <w:rFonts w:cs="Tahoma"/>
          <w:bCs/>
          <w:szCs w:val="20"/>
        </w:rPr>
        <w:t>Redditi da pensione, terreni, abitazione principale e sue pertinenze pari o inferiori a 7.500 euro (pensione) e 185,92 euro (terreni);</w:t>
      </w:r>
    </w:p>
    <w:p w14:paraId="2438A82F" w14:textId="77777777" w:rsidR="002558B3" w:rsidRPr="00CC00D4" w:rsidRDefault="002558B3">
      <w:pPr>
        <w:pStyle w:val="Paragrafoelenco"/>
        <w:numPr>
          <w:ilvl w:val="0"/>
          <w:numId w:val="33"/>
        </w:numPr>
        <w:autoSpaceDN w:val="0"/>
        <w:ind w:left="709" w:hanging="357"/>
        <w:contextualSpacing/>
        <w:textAlignment w:val="baseline"/>
        <w:rPr>
          <w:rFonts w:cs="Tahoma"/>
          <w:szCs w:val="20"/>
        </w:rPr>
      </w:pPr>
      <w:r w:rsidRPr="00CC00D4">
        <w:rPr>
          <w:rFonts w:cs="Tahoma"/>
          <w:bCs/>
          <w:szCs w:val="20"/>
        </w:rPr>
        <w:lastRenderedPageBreak/>
        <w:t>Assegno periodico corrisposto dal coniuge (più altre tipologie di reddito con esclusione di quello derivante dall’abitazione principale e sue pertinenze) pari o inferiore a 8 mila euro;</w:t>
      </w:r>
    </w:p>
    <w:p w14:paraId="2C98DC95" w14:textId="77777777" w:rsidR="002558B3" w:rsidRPr="00CC00D4" w:rsidRDefault="002558B3">
      <w:pPr>
        <w:pStyle w:val="Paragrafoelenco"/>
        <w:numPr>
          <w:ilvl w:val="0"/>
          <w:numId w:val="33"/>
        </w:numPr>
        <w:autoSpaceDN w:val="0"/>
        <w:ind w:left="709"/>
        <w:textAlignment w:val="baseline"/>
        <w:rPr>
          <w:rFonts w:cs="Tahoma"/>
          <w:szCs w:val="20"/>
        </w:rPr>
      </w:pPr>
      <w:r w:rsidRPr="00CC00D4">
        <w:rPr>
          <w:rFonts w:cs="Tahoma"/>
          <w:bCs/>
          <w:szCs w:val="20"/>
        </w:rPr>
        <w:t>Compensi derivanti da attività sportive dilettantistiche pari o inferiori a 30.658,28 euro.</w:t>
      </w:r>
    </w:p>
    <w:p w14:paraId="7F5311DF"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Da ultimo sono esonerati dal presentare la dichiarazione coloro che possiedono redditi assimilati a quelli da lavoro dipendente ed altri redditi per i quali la detrazione prevista non è rapportata al periodo di lavoro (redditi pari o inferiori a 4.800 euro). Tra le casistiche oltre ai redditi da attività di lavoro autonomo occasionale, sono ricompresi ad esempio i “</w:t>
      </w:r>
      <w:r w:rsidRPr="00CC00D4">
        <w:rPr>
          <w:rFonts w:ascii="Tahoma" w:hAnsi="Tahoma" w:cs="Tahoma"/>
          <w:bCs/>
          <w:i/>
          <w:iCs/>
          <w:kern w:val="0"/>
          <w:sz w:val="20"/>
          <w:szCs w:val="20"/>
        </w:rPr>
        <w:t>compensi percepiti per l’attività libero professionale intramuraria del personale dipendente dal Servizio sanitario nazionale, redditi da attività commerciali occasionali</w:t>
      </w:r>
      <w:r w:rsidRPr="00CC00D4">
        <w:rPr>
          <w:rFonts w:ascii="Tahoma" w:hAnsi="Tahoma" w:cs="Tahoma"/>
          <w:bCs/>
          <w:kern w:val="0"/>
          <w:sz w:val="20"/>
          <w:szCs w:val="20"/>
        </w:rPr>
        <w:t>”.</w:t>
      </w:r>
    </w:p>
    <w:p w14:paraId="30E19EBC"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In generale è comunque esonerato il contribuente “</w:t>
      </w:r>
      <w:r w:rsidRPr="00CC00D4">
        <w:rPr>
          <w:rFonts w:ascii="Tahoma" w:hAnsi="Tahoma" w:cs="Tahoma"/>
          <w:bCs/>
          <w:i/>
          <w:iCs/>
          <w:kern w:val="0"/>
          <w:sz w:val="20"/>
          <w:szCs w:val="20"/>
        </w:rPr>
        <w:t>non obbligato alla tenuta delle scritture contabili</w:t>
      </w:r>
      <w:r w:rsidRPr="00CC00D4">
        <w:rPr>
          <w:rFonts w:ascii="Tahoma" w:hAnsi="Tahoma" w:cs="Tahoma"/>
          <w:bCs/>
          <w:kern w:val="0"/>
          <w:sz w:val="20"/>
          <w:szCs w:val="20"/>
        </w:rPr>
        <w:t>” che possiede redditi per i quali è dovuta un’imposta netta non superiore ad euro 10,33.</w:t>
      </w:r>
    </w:p>
    <w:p w14:paraId="5A935C8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 xml:space="preserve">Per il calcolo del predetto limite è calcolare l’IRPEF lorda considerando il reddito complessivo al netto della deduzione per l’abitazione principale e le relative pertinenze e, successivamente, scomputando poi le detrazioni per carichi di famiglia, redditi da lavoro dipendente, pensione e / o altri redditi, al fine di ottenere l’imposta netta che, se non superiore ad euro 10,33, esonera il contribuente dal presentare la dichiarazione.  </w:t>
      </w:r>
    </w:p>
    <w:p w14:paraId="62526749" w14:textId="77777777" w:rsidR="002558B3" w:rsidRPr="00CC00D4" w:rsidRDefault="002558B3" w:rsidP="002558B3">
      <w:pPr>
        <w:pStyle w:val="Standard"/>
        <w:spacing w:after="200" w:line="360" w:lineRule="auto"/>
        <w:jc w:val="both"/>
        <w:rPr>
          <w:rFonts w:ascii="Tahoma" w:hAnsi="Tahoma" w:cs="Tahoma"/>
          <w:bCs/>
          <w:kern w:val="0"/>
          <w:sz w:val="20"/>
          <w:szCs w:val="20"/>
        </w:rPr>
      </w:pPr>
    </w:p>
    <w:p w14:paraId="0E51421A" w14:textId="77777777" w:rsidR="002558B3" w:rsidRPr="00CC00D4" w:rsidRDefault="002558B3" w:rsidP="002136CC">
      <w:pPr>
        <w:pStyle w:val="Titolo3"/>
        <w:rPr>
          <w:u w:val="none"/>
        </w:rPr>
      </w:pPr>
      <w:bookmarkStart w:id="419" w:name="__RefHeading__4610_1479815270"/>
      <w:bookmarkStart w:id="420" w:name="_Toc92386571"/>
      <w:bookmarkStart w:id="421" w:name="_Toc124266343"/>
      <w:r w:rsidRPr="00CC00D4">
        <w:t>7.3.5 Detrazione per altri redditi</w:t>
      </w:r>
      <w:bookmarkEnd w:id="419"/>
      <w:bookmarkEnd w:id="420"/>
      <w:bookmarkEnd w:id="421"/>
    </w:p>
    <w:p w14:paraId="5E61861B" w14:textId="77777777" w:rsidR="002558B3" w:rsidRPr="00CC00D4" w:rsidRDefault="002558B3"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L’articolo 13 del TUIR (Decreto del Presidente della Repubblica 22 dicembre 1986 numero 917) prevede al comma 5 una detrazione dell’imposta lorda nel caso in cui alla formazione del reddito complessivo concorrono uno o più redditi diversi da quelli da lavoro dipendente, assimilati o da pensione, tra cui si annoverano i compensi da lavoro autonomo occasionale di cui al successivo a</w:t>
      </w:r>
      <w:r w:rsidR="00130676" w:rsidRPr="00CC00D4">
        <w:rPr>
          <w:rFonts w:ascii="Tahoma" w:hAnsi="Tahoma" w:cs="Tahoma"/>
          <w:bCs/>
          <w:kern w:val="0"/>
          <w:sz w:val="20"/>
          <w:szCs w:val="20"/>
        </w:rPr>
        <w:t xml:space="preserve">rticolo 67 comma lettera l), oltre a: </w:t>
      </w:r>
    </w:p>
    <w:p w14:paraId="5E62AF85" w14:textId="77777777" w:rsidR="00130676" w:rsidRPr="00CC00D4" w:rsidRDefault="00130676">
      <w:pPr>
        <w:pStyle w:val="Standard"/>
        <w:numPr>
          <w:ilvl w:val="0"/>
          <w:numId w:val="208"/>
        </w:numPr>
        <w:spacing w:after="200" w:line="360" w:lineRule="auto"/>
        <w:ind w:left="714" w:hanging="357"/>
        <w:contextualSpacing/>
        <w:jc w:val="both"/>
        <w:rPr>
          <w:rFonts w:ascii="Tahoma" w:hAnsi="Tahoma" w:cs="Tahoma"/>
          <w:kern w:val="0"/>
          <w:sz w:val="20"/>
          <w:szCs w:val="20"/>
        </w:rPr>
      </w:pPr>
      <w:r w:rsidRPr="00CC00D4">
        <w:rPr>
          <w:rFonts w:ascii="Tahoma" w:hAnsi="Tahoma" w:cs="Tahoma"/>
          <w:kern w:val="0"/>
          <w:sz w:val="20"/>
          <w:szCs w:val="20"/>
        </w:rPr>
        <w:t>Redditi di lavoro autonomo (articolo 53 del TUIR);</w:t>
      </w:r>
    </w:p>
    <w:p w14:paraId="0AF468DF" w14:textId="77777777" w:rsidR="00130676" w:rsidRPr="00CC00D4" w:rsidRDefault="00130676">
      <w:pPr>
        <w:pStyle w:val="Standard"/>
        <w:numPr>
          <w:ilvl w:val="0"/>
          <w:numId w:val="208"/>
        </w:numPr>
        <w:spacing w:after="200" w:line="360" w:lineRule="auto"/>
        <w:ind w:left="714" w:hanging="357"/>
        <w:contextualSpacing/>
        <w:jc w:val="both"/>
        <w:rPr>
          <w:rFonts w:ascii="Tahoma" w:hAnsi="Tahoma" w:cs="Tahoma"/>
          <w:kern w:val="0"/>
          <w:sz w:val="20"/>
          <w:szCs w:val="20"/>
        </w:rPr>
      </w:pPr>
      <w:r w:rsidRPr="00CC00D4">
        <w:rPr>
          <w:rFonts w:ascii="Tahoma" w:hAnsi="Tahoma" w:cs="Tahoma"/>
          <w:kern w:val="0"/>
          <w:sz w:val="20"/>
          <w:szCs w:val="20"/>
        </w:rPr>
        <w:t>Redditi delle imprese minori (articolo 66 del TUIR);</w:t>
      </w:r>
    </w:p>
    <w:p w14:paraId="5D67E789" w14:textId="77777777" w:rsidR="00130676" w:rsidRPr="00CC00D4" w:rsidRDefault="00130676">
      <w:pPr>
        <w:pStyle w:val="Standard"/>
        <w:numPr>
          <w:ilvl w:val="0"/>
          <w:numId w:val="208"/>
        </w:numPr>
        <w:spacing w:after="200" w:line="360" w:lineRule="auto"/>
        <w:ind w:left="714" w:hanging="357"/>
        <w:contextualSpacing/>
        <w:jc w:val="both"/>
        <w:rPr>
          <w:rFonts w:ascii="Tahoma" w:hAnsi="Tahoma" w:cs="Tahoma"/>
          <w:kern w:val="0"/>
          <w:sz w:val="20"/>
          <w:szCs w:val="20"/>
        </w:rPr>
      </w:pPr>
      <w:r w:rsidRPr="00CC00D4">
        <w:rPr>
          <w:rFonts w:ascii="Tahoma" w:hAnsi="Tahoma" w:cs="Tahoma"/>
          <w:kern w:val="0"/>
          <w:sz w:val="20"/>
          <w:szCs w:val="20"/>
        </w:rPr>
        <w:t>Redditi derivanti da attività commerciali non esercitate abitualmente (articolo 67 comma 1 lettera i del TUIR);</w:t>
      </w:r>
    </w:p>
    <w:p w14:paraId="762A5945" w14:textId="77777777" w:rsidR="00130676" w:rsidRPr="00CC00D4" w:rsidRDefault="00EA4CF1">
      <w:pPr>
        <w:pStyle w:val="Standard"/>
        <w:numPr>
          <w:ilvl w:val="0"/>
          <w:numId w:val="208"/>
        </w:numPr>
        <w:spacing w:after="200" w:line="360" w:lineRule="auto"/>
        <w:jc w:val="both"/>
        <w:rPr>
          <w:rFonts w:ascii="Tahoma" w:hAnsi="Tahoma" w:cs="Tahoma"/>
          <w:kern w:val="0"/>
          <w:sz w:val="20"/>
          <w:szCs w:val="20"/>
        </w:rPr>
      </w:pPr>
      <w:r w:rsidRPr="00CC00D4">
        <w:rPr>
          <w:rFonts w:ascii="Tahoma" w:hAnsi="Tahoma" w:cs="Tahoma"/>
          <w:kern w:val="0"/>
          <w:sz w:val="20"/>
          <w:szCs w:val="20"/>
        </w:rPr>
        <w:t xml:space="preserve">Altri redditi assimilati a quelli di lavoro dipendente di cui all’articolo 50 comma 1 lettere e), f), g), h), i) del TUIR. </w:t>
      </w:r>
    </w:p>
    <w:p w14:paraId="51AF987D"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Sino al 31 dicembre 2021 la detrazione (non proporzionata al periodo di svolgimento dell’attività) era pari a:</w:t>
      </w:r>
    </w:p>
    <w:p w14:paraId="5879C6F4" w14:textId="77777777" w:rsidR="002558B3" w:rsidRPr="00CC00D4" w:rsidRDefault="002558B3">
      <w:pPr>
        <w:pStyle w:val="Paragrafoelenco"/>
        <w:numPr>
          <w:ilvl w:val="0"/>
          <w:numId w:val="30"/>
        </w:numPr>
        <w:autoSpaceDN w:val="0"/>
        <w:ind w:left="709" w:hanging="357"/>
        <w:contextualSpacing/>
        <w:textAlignment w:val="baseline"/>
        <w:rPr>
          <w:rFonts w:cs="Tahoma"/>
          <w:szCs w:val="20"/>
        </w:rPr>
      </w:pPr>
      <w:r w:rsidRPr="00CC00D4">
        <w:rPr>
          <w:rFonts w:cs="Tahoma"/>
          <w:bCs/>
          <w:szCs w:val="20"/>
        </w:rPr>
        <w:t>1.104 euro se il reddito complessivo (al netto dell’abitazione principale e relative pertinenze ma comprensivo del reddito dei fabbricati soggetti a cedolare secca) era pari o inferiore a 4.800 euro;</w:t>
      </w:r>
    </w:p>
    <w:p w14:paraId="52D26CC9" w14:textId="77777777" w:rsidR="002558B3" w:rsidRPr="00CC00D4" w:rsidRDefault="002558B3">
      <w:pPr>
        <w:pStyle w:val="Paragrafoelenco"/>
        <w:numPr>
          <w:ilvl w:val="0"/>
          <w:numId w:val="30"/>
        </w:numPr>
        <w:autoSpaceDN w:val="0"/>
        <w:ind w:left="709" w:hanging="357"/>
        <w:contextualSpacing/>
        <w:textAlignment w:val="baseline"/>
        <w:rPr>
          <w:rFonts w:cs="Tahoma"/>
          <w:szCs w:val="20"/>
        </w:rPr>
      </w:pPr>
      <w:r w:rsidRPr="00CC00D4">
        <w:rPr>
          <w:rFonts w:cs="Tahoma"/>
          <w:bCs/>
          <w:szCs w:val="20"/>
        </w:rPr>
        <w:lastRenderedPageBreak/>
        <w:t>1.104 da moltiplicarsi per il risultato della seguente operazione (55.000 – reddito complessivo) / 50.200 se il reddito complessivo era compreso tra 4.801 e 55.000 euro;</w:t>
      </w:r>
    </w:p>
    <w:p w14:paraId="6DA4354E" w14:textId="77777777" w:rsidR="002558B3" w:rsidRPr="00CC00D4" w:rsidRDefault="002558B3">
      <w:pPr>
        <w:pStyle w:val="Paragrafoelenco"/>
        <w:numPr>
          <w:ilvl w:val="0"/>
          <w:numId w:val="30"/>
        </w:numPr>
        <w:autoSpaceDN w:val="0"/>
        <w:ind w:left="709" w:hanging="357"/>
        <w:contextualSpacing/>
        <w:textAlignment w:val="baseline"/>
        <w:rPr>
          <w:rFonts w:cs="Tahoma"/>
          <w:szCs w:val="20"/>
        </w:rPr>
      </w:pPr>
      <w:r w:rsidRPr="00CC00D4">
        <w:rPr>
          <w:rFonts w:cs="Tahoma"/>
          <w:bCs/>
          <w:szCs w:val="20"/>
        </w:rPr>
        <w:t>Nulla spettava invece se il reddito era superiore a 55.000 euro.</w:t>
      </w:r>
    </w:p>
    <w:p w14:paraId="4F9DECD1" w14:textId="77777777" w:rsidR="002558B3" w:rsidRPr="00CC00D4" w:rsidRDefault="002558B3" w:rsidP="002558B3">
      <w:pPr>
        <w:pStyle w:val="Standard"/>
        <w:spacing w:after="200" w:line="360" w:lineRule="auto"/>
        <w:jc w:val="both"/>
        <w:rPr>
          <w:rFonts w:ascii="Tahoma" w:hAnsi="Tahoma" w:cs="Tahoma"/>
          <w:kern w:val="0"/>
          <w:sz w:val="20"/>
          <w:szCs w:val="20"/>
        </w:rPr>
      </w:pPr>
      <w:r w:rsidRPr="00CC00D4">
        <w:rPr>
          <w:rFonts w:ascii="Tahoma" w:hAnsi="Tahoma" w:cs="Tahoma"/>
          <w:bCs/>
          <w:kern w:val="0"/>
          <w:sz w:val="20"/>
          <w:szCs w:val="20"/>
        </w:rPr>
        <w:t>A seguito delle modifiche introdotte dalla Legge di Bilancio 2022 (articolo 1 comma 2 Legge 30 dicembre 2021 numero 234) l’articolo 13 comma 5 a decorrere dal 1° gennaio 2022 prevede una detrazione a beneficio di coloro che producono uno o più redditi da lavoro autonomo occasionale pari a:</w:t>
      </w:r>
    </w:p>
    <w:p w14:paraId="7892F4F3" w14:textId="77777777" w:rsidR="002558B3" w:rsidRPr="00CC00D4" w:rsidRDefault="002558B3">
      <w:pPr>
        <w:pStyle w:val="Paragrafoelenco"/>
        <w:numPr>
          <w:ilvl w:val="0"/>
          <w:numId w:val="29"/>
        </w:numPr>
        <w:autoSpaceDN w:val="0"/>
        <w:ind w:left="709" w:hanging="357"/>
        <w:contextualSpacing/>
        <w:textAlignment w:val="baseline"/>
        <w:rPr>
          <w:rFonts w:cs="Tahoma"/>
          <w:szCs w:val="20"/>
        </w:rPr>
      </w:pPr>
      <w:r w:rsidRPr="00CC00D4">
        <w:rPr>
          <w:rFonts w:cs="Tahoma"/>
          <w:bCs/>
          <w:szCs w:val="20"/>
        </w:rPr>
        <w:t>1.265 euro se il reddito complessivo non eccede i 5.500 euro;</w:t>
      </w:r>
    </w:p>
    <w:p w14:paraId="38CC051D" w14:textId="77777777" w:rsidR="002558B3" w:rsidRPr="00CC00D4" w:rsidRDefault="002558B3">
      <w:pPr>
        <w:pStyle w:val="Paragrafoelenco"/>
        <w:numPr>
          <w:ilvl w:val="0"/>
          <w:numId w:val="29"/>
        </w:numPr>
        <w:autoSpaceDN w:val="0"/>
        <w:ind w:left="709" w:hanging="357"/>
        <w:contextualSpacing/>
        <w:textAlignment w:val="baseline"/>
        <w:rPr>
          <w:rFonts w:cs="Tahoma"/>
          <w:szCs w:val="20"/>
        </w:rPr>
      </w:pPr>
      <w:r w:rsidRPr="00CC00D4">
        <w:rPr>
          <w:rFonts w:cs="Tahoma"/>
          <w:bCs/>
          <w:szCs w:val="20"/>
        </w:rPr>
        <w:t>500 euro più il risultato</w:t>
      </w:r>
      <w:r w:rsidR="00130676" w:rsidRPr="00CC00D4">
        <w:rPr>
          <w:rFonts w:cs="Tahoma"/>
          <w:bCs/>
          <w:szCs w:val="20"/>
        </w:rPr>
        <w:t xml:space="preserve"> di </w:t>
      </w:r>
      <w:r w:rsidRPr="00CC00D4">
        <w:rPr>
          <w:rFonts w:cs="Tahoma"/>
          <w:bCs/>
          <w:szCs w:val="20"/>
        </w:rPr>
        <w:t xml:space="preserve">765 * </w:t>
      </w:r>
      <w:r w:rsidR="00130676" w:rsidRPr="00CC00D4">
        <w:rPr>
          <w:rFonts w:cs="Tahoma"/>
          <w:bCs/>
          <w:szCs w:val="20"/>
        </w:rPr>
        <w:t>[</w:t>
      </w:r>
      <w:r w:rsidRPr="00CC00D4">
        <w:rPr>
          <w:rFonts w:cs="Tahoma"/>
          <w:bCs/>
          <w:szCs w:val="20"/>
        </w:rPr>
        <w:t>(28.000 – reddito complessivo) / 22.500] se il reddito complessivo è superiore a 5.500 ma non a 28 mila euro;</w:t>
      </w:r>
    </w:p>
    <w:p w14:paraId="05ED06AD" w14:textId="77777777" w:rsidR="002558B3" w:rsidRPr="00CC00D4" w:rsidRDefault="002558B3">
      <w:pPr>
        <w:pStyle w:val="Paragrafoelenco"/>
        <w:numPr>
          <w:ilvl w:val="0"/>
          <w:numId w:val="29"/>
        </w:numPr>
        <w:autoSpaceDN w:val="0"/>
        <w:ind w:left="709" w:hanging="357"/>
        <w:contextualSpacing/>
        <w:textAlignment w:val="baseline"/>
        <w:rPr>
          <w:rFonts w:cs="Tahoma"/>
          <w:szCs w:val="20"/>
        </w:rPr>
      </w:pPr>
      <w:r w:rsidRPr="00CC00D4">
        <w:rPr>
          <w:rFonts w:cs="Tahoma"/>
          <w:bCs/>
          <w:szCs w:val="20"/>
        </w:rPr>
        <w:t>500 euro * [(50.000 – reddito complessivo) / 22.000] se il reddito complessivo è superiore a 28 mila ma non eccedente i 50 mila euro;</w:t>
      </w:r>
    </w:p>
    <w:p w14:paraId="7125C5DB" w14:textId="77777777" w:rsidR="002558B3" w:rsidRPr="00CC00D4" w:rsidRDefault="002558B3">
      <w:pPr>
        <w:pStyle w:val="Paragrafoelenco"/>
        <w:numPr>
          <w:ilvl w:val="0"/>
          <w:numId w:val="29"/>
        </w:numPr>
        <w:autoSpaceDN w:val="0"/>
        <w:ind w:left="709" w:hanging="357"/>
        <w:contextualSpacing/>
        <w:textAlignment w:val="baseline"/>
        <w:rPr>
          <w:rFonts w:cs="Tahoma"/>
          <w:szCs w:val="20"/>
        </w:rPr>
      </w:pPr>
      <w:r w:rsidRPr="00CC00D4">
        <w:rPr>
          <w:rFonts w:cs="Tahoma"/>
          <w:bCs/>
          <w:szCs w:val="20"/>
        </w:rPr>
        <w:t>Nulla spetta ai contribuenti con reddito complessivo superiore a 50 mila euro.</w:t>
      </w:r>
    </w:p>
    <w:p w14:paraId="51244670" w14:textId="77777777" w:rsidR="002558B3" w:rsidRPr="00CC00D4" w:rsidRDefault="002558B3" w:rsidP="002558B3">
      <w:pPr>
        <w:pStyle w:val="Standard"/>
        <w:spacing w:after="200" w:line="360" w:lineRule="auto"/>
        <w:jc w:val="both"/>
        <w:rPr>
          <w:rFonts w:ascii="Tahoma" w:hAnsi="Tahoma" w:cs="Tahoma"/>
          <w:bCs/>
          <w:kern w:val="0"/>
          <w:sz w:val="20"/>
          <w:szCs w:val="20"/>
        </w:rPr>
      </w:pPr>
      <w:r w:rsidRPr="00CC00D4">
        <w:rPr>
          <w:rFonts w:ascii="Tahoma" w:hAnsi="Tahoma" w:cs="Tahoma"/>
          <w:bCs/>
          <w:kern w:val="0"/>
          <w:sz w:val="20"/>
          <w:szCs w:val="20"/>
        </w:rPr>
        <w:t>La detrazione è altresì aumentata in misura pari a 50 euro per coloro che hanno redditi superiori a 11 mila ma non eccedenti i 17 mila euro.</w:t>
      </w:r>
      <w:r w:rsidR="00130676" w:rsidRPr="00CC00D4">
        <w:rPr>
          <w:rFonts w:ascii="Tahoma" w:hAnsi="Tahoma" w:cs="Tahoma"/>
          <w:bCs/>
          <w:kern w:val="0"/>
          <w:sz w:val="20"/>
          <w:szCs w:val="20"/>
        </w:rPr>
        <w:t xml:space="preserve"> Tale importo, come chiarito dalla Circolare Agenzia delle Entrate del 18 febbraio 2022 numero 4, dev’essere “</w:t>
      </w:r>
      <w:r w:rsidR="00130676" w:rsidRPr="00CC00D4">
        <w:rPr>
          <w:rFonts w:ascii="Tahoma" w:hAnsi="Tahoma" w:cs="Tahoma"/>
          <w:bCs/>
          <w:i/>
          <w:kern w:val="0"/>
          <w:sz w:val="20"/>
          <w:szCs w:val="20"/>
        </w:rPr>
        <w:t>inteso quale correttivo in aumento alle detrazioni</w:t>
      </w:r>
      <w:r w:rsidR="00130676" w:rsidRPr="00CC00D4">
        <w:rPr>
          <w:rFonts w:ascii="Tahoma" w:hAnsi="Tahoma" w:cs="Tahoma"/>
          <w:bCs/>
          <w:kern w:val="0"/>
          <w:sz w:val="20"/>
          <w:szCs w:val="20"/>
        </w:rPr>
        <w:t>” e spetta “</w:t>
      </w:r>
      <w:r w:rsidR="00130676" w:rsidRPr="00CC00D4">
        <w:rPr>
          <w:rFonts w:ascii="Tahoma" w:hAnsi="Tahoma" w:cs="Tahoma"/>
          <w:bCs/>
          <w:i/>
          <w:kern w:val="0"/>
          <w:sz w:val="20"/>
          <w:szCs w:val="20"/>
        </w:rPr>
        <w:t>per intero nel corso dell’anno 2022</w:t>
      </w:r>
      <w:r w:rsidR="00130676" w:rsidRPr="00CC00D4">
        <w:rPr>
          <w:rFonts w:ascii="Tahoma" w:hAnsi="Tahoma" w:cs="Tahoma"/>
          <w:bCs/>
          <w:kern w:val="0"/>
          <w:sz w:val="20"/>
          <w:szCs w:val="20"/>
        </w:rPr>
        <w:t xml:space="preserve">”. </w:t>
      </w:r>
    </w:p>
    <w:p w14:paraId="77AF1578" w14:textId="07848B42" w:rsidR="00EE2292" w:rsidRPr="00130676" w:rsidRDefault="00000000" w:rsidP="002558B3">
      <w:pPr>
        <w:pStyle w:val="Standard"/>
        <w:spacing w:after="200" w:line="360" w:lineRule="auto"/>
        <w:jc w:val="both"/>
        <w:rPr>
          <w:rFonts w:ascii="Tahoma" w:hAnsi="Tahoma" w:cs="Tahoma"/>
          <w:kern w:val="0"/>
          <w:sz w:val="20"/>
          <w:szCs w:val="20"/>
        </w:rPr>
      </w:pPr>
      <w:hyperlink r:id="rId49" w:history="1">
        <w:r w:rsidR="00E74A8D" w:rsidRPr="00CC00D4">
          <w:rPr>
            <w:rStyle w:val="Collegamentoipertestuale"/>
            <w:rFonts w:ascii="Tahoma" w:hAnsi="Tahoma" w:cs="Tahoma"/>
            <w:bCs/>
            <w:kern w:val="0"/>
            <w:sz w:val="20"/>
            <w:szCs w:val="20"/>
          </w:rPr>
          <w:t>Circolare</w:t>
        </w:r>
        <w:r w:rsidR="00EE2292" w:rsidRPr="00CC00D4">
          <w:rPr>
            <w:rStyle w:val="Collegamentoipertestuale"/>
            <w:rFonts w:ascii="Tahoma" w:hAnsi="Tahoma" w:cs="Tahoma"/>
            <w:bCs/>
            <w:kern w:val="0"/>
            <w:sz w:val="20"/>
            <w:szCs w:val="20"/>
          </w:rPr>
          <w:t xml:space="preserve"> ADE 18 </w:t>
        </w:r>
        <w:r w:rsidR="00E74A8D" w:rsidRPr="00CC00D4">
          <w:rPr>
            <w:rStyle w:val="Collegamentoipertestuale"/>
            <w:rFonts w:ascii="Tahoma" w:hAnsi="Tahoma" w:cs="Tahoma"/>
            <w:bCs/>
            <w:kern w:val="0"/>
            <w:sz w:val="20"/>
            <w:szCs w:val="20"/>
          </w:rPr>
          <w:t>febbraio 2022 numero</w:t>
        </w:r>
        <w:r w:rsidR="00EE2292" w:rsidRPr="00CC00D4">
          <w:rPr>
            <w:rStyle w:val="Collegamentoipertestuale"/>
            <w:rFonts w:ascii="Tahoma" w:hAnsi="Tahoma" w:cs="Tahoma"/>
            <w:bCs/>
            <w:kern w:val="0"/>
            <w:sz w:val="20"/>
            <w:szCs w:val="20"/>
          </w:rPr>
          <w:t xml:space="preserve"> 4</w:t>
        </w:r>
      </w:hyperlink>
    </w:p>
    <w:p w14:paraId="12D7942F" w14:textId="77777777" w:rsidR="002558B3" w:rsidRPr="002558B3" w:rsidRDefault="002558B3" w:rsidP="002558B3">
      <w:pPr>
        <w:pStyle w:val="Standard"/>
        <w:jc w:val="both"/>
        <w:rPr>
          <w:bCs/>
          <w:kern w:val="0"/>
          <w:sz w:val="26"/>
          <w:szCs w:val="26"/>
        </w:rPr>
      </w:pPr>
    </w:p>
    <w:p w14:paraId="735C7EA7" w14:textId="77777777" w:rsidR="002558B3" w:rsidRDefault="002558B3" w:rsidP="002558B3">
      <w:pPr>
        <w:pStyle w:val="Standard"/>
        <w:jc w:val="both"/>
        <w:rPr>
          <w:bCs/>
          <w:sz w:val="26"/>
          <w:szCs w:val="26"/>
        </w:rPr>
      </w:pPr>
    </w:p>
    <w:p w14:paraId="3E73B39F" w14:textId="77777777" w:rsidR="002558B3" w:rsidRDefault="002558B3" w:rsidP="002558B3">
      <w:pPr>
        <w:pStyle w:val="Standard"/>
        <w:jc w:val="both"/>
        <w:rPr>
          <w:bCs/>
          <w:sz w:val="26"/>
          <w:szCs w:val="26"/>
        </w:rPr>
      </w:pPr>
    </w:p>
    <w:p w14:paraId="77BEA46A" w14:textId="77777777" w:rsidR="002558B3" w:rsidRDefault="002558B3" w:rsidP="002558B3">
      <w:pPr>
        <w:pStyle w:val="Standard"/>
        <w:jc w:val="both"/>
        <w:rPr>
          <w:bCs/>
          <w:sz w:val="26"/>
          <w:szCs w:val="26"/>
        </w:rPr>
      </w:pPr>
    </w:p>
    <w:p w14:paraId="67B6658D" w14:textId="77777777" w:rsidR="002558B3" w:rsidRDefault="002558B3" w:rsidP="002558B3">
      <w:pPr>
        <w:pStyle w:val="Standard"/>
        <w:jc w:val="both"/>
        <w:rPr>
          <w:bCs/>
          <w:sz w:val="26"/>
          <w:szCs w:val="26"/>
        </w:rPr>
      </w:pPr>
    </w:p>
    <w:p w14:paraId="5B62B38E" w14:textId="77777777" w:rsidR="002558B3" w:rsidRDefault="002558B3" w:rsidP="002558B3">
      <w:pPr>
        <w:pStyle w:val="Standard"/>
        <w:jc w:val="both"/>
        <w:rPr>
          <w:bCs/>
          <w:sz w:val="26"/>
          <w:szCs w:val="26"/>
        </w:rPr>
      </w:pPr>
    </w:p>
    <w:p w14:paraId="748F268D" w14:textId="77777777" w:rsidR="002558B3" w:rsidRDefault="002558B3" w:rsidP="002558B3">
      <w:pPr>
        <w:pStyle w:val="Standard"/>
        <w:jc w:val="both"/>
        <w:rPr>
          <w:bCs/>
          <w:sz w:val="26"/>
          <w:szCs w:val="26"/>
        </w:rPr>
      </w:pPr>
    </w:p>
    <w:p w14:paraId="32C6D281" w14:textId="77777777" w:rsidR="002558B3" w:rsidRDefault="002558B3" w:rsidP="002558B3">
      <w:pPr>
        <w:pStyle w:val="Standard"/>
        <w:jc w:val="both"/>
        <w:rPr>
          <w:bCs/>
          <w:sz w:val="26"/>
          <w:szCs w:val="26"/>
        </w:rPr>
      </w:pPr>
    </w:p>
    <w:p w14:paraId="10866C44" w14:textId="77777777" w:rsidR="002558B3" w:rsidRDefault="002558B3" w:rsidP="002558B3">
      <w:pPr>
        <w:pStyle w:val="Standard"/>
        <w:jc w:val="both"/>
      </w:pPr>
    </w:p>
    <w:p w14:paraId="0FF43889" w14:textId="77777777" w:rsidR="00DB3A91" w:rsidRPr="00411768" w:rsidRDefault="00DB3A91"/>
    <w:p w14:paraId="27298C5B" w14:textId="77777777" w:rsidR="002558B3" w:rsidRPr="00411768" w:rsidRDefault="002558B3"/>
    <w:sectPr w:rsidR="002558B3" w:rsidRPr="00411768">
      <w:pgSz w:w="11906" w:h="16838"/>
      <w:pgMar w:top="776" w:right="1134" w:bottom="777" w:left="1134"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olo Ballanti" w:date="2023-01-09T15:49:00Z" w:initials="PB">
    <w:p w14:paraId="0E841006" w14:textId="77777777" w:rsidR="002E1595" w:rsidRDefault="002E1595" w:rsidP="00F933B8">
      <w:pPr>
        <w:pStyle w:val="Testocommento"/>
      </w:pPr>
      <w:r>
        <w:rPr>
          <w:rStyle w:val="Rimandocommento"/>
        </w:rPr>
        <w:annotationRef/>
      </w:r>
      <w:r>
        <w:t>aggiornato</w:t>
      </w:r>
    </w:p>
  </w:comment>
  <w:comment w:id="36" w:author="Paolo Ballanti" w:date="2023-01-09T15:50:00Z" w:initials="PB">
    <w:p w14:paraId="2D7688B3" w14:textId="77777777" w:rsidR="002E1595" w:rsidRDefault="002E1595" w:rsidP="00E27D67">
      <w:pPr>
        <w:pStyle w:val="Testocommento"/>
      </w:pPr>
      <w:r>
        <w:rPr>
          <w:rStyle w:val="Rimandocommento"/>
        </w:rPr>
        <w:annotationRef/>
      </w:r>
      <w:r>
        <w:t>Aggiornato</w:t>
      </w:r>
    </w:p>
  </w:comment>
  <w:comment w:id="68" w:author="Paolo Ballanti" w:date="2023-01-09T15:50:00Z" w:initials="PB">
    <w:p w14:paraId="500D1AFE" w14:textId="77777777" w:rsidR="002E1595" w:rsidRDefault="002E1595" w:rsidP="002379F6">
      <w:pPr>
        <w:pStyle w:val="Testocommento"/>
      </w:pPr>
      <w:r>
        <w:rPr>
          <w:rStyle w:val="Rimandocommento"/>
        </w:rPr>
        <w:annotationRef/>
      </w:r>
      <w:r>
        <w:t>Aggiornato</w:t>
      </w:r>
    </w:p>
  </w:comment>
  <w:comment w:id="69" w:author="Paolo Ballanti" w:date="2023-01-09T15:51:00Z" w:initials="PB">
    <w:p w14:paraId="5D35EF98" w14:textId="77777777" w:rsidR="00F725CB" w:rsidRDefault="00F725CB" w:rsidP="006F60F1">
      <w:pPr>
        <w:pStyle w:val="Testocommento"/>
      </w:pPr>
      <w:r>
        <w:rPr>
          <w:rStyle w:val="Rimandocommento"/>
        </w:rPr>
        <w:annotationRef/>
      </w:r>
      <w:r>
        <w:t>aggiornato</w:t>
      </w:r>
    </w:p>
  </w:comment>
  <w:comment w:id="70" w:author="Paolo Ballanti" w:date="2023-01-09T15:51:00Z" w:initials="PB">
    <w:p w14:paraId="0B705C07" w14:textId="5ADCF694" w:rsidR="00F725CB" w:rsidRDefault="00F725CB" w:rsidP="00BB3759">
      <w:pPr>
        <w:pStyle w:val="Testocommento"/>
      </w:pPr>
      <w:r>
        <w:rPr>
          <w:rStyle w:val="Rimandocommento"/>
        </w:rPr>
        <w:annotationRef/>
      </w:r>
      <w:r>
        <w:t>aggiornato</w:t>
      </w:r>
    </w:p>
  </w:comment>
  <w:comment w:id="73" w:author="Paolo Ballanti" w:date="2023-01-09T15:59:00Z" w:initials="PB">
    <w:p w14:paraId="19EABC35" w14:textId="77777777" w:rsidR="00F725CB" w:rsidRDefault="00F725CB" w:rsidP="003B6CAF">
      <w:pPr>
        <w:pStyle w:val="Testocommento"/>
      </w:pPr>
      <w:r>
        <w:rPr>
          <w:rStyle w:val="Rimandocommento"/>
        </w:rPr>
        <w:annotationRef/>
      </w:r>
      <w:r>
        <w:t>Aggiornato</w:t>
      </w:r>
    </w:p>
  </w:comment>
  <w:comment w:id="275" w:author="Paolo Ballanti" w:date="2023-01-09T16:00:00Z" w:initials="PB">
    <w:p w14:paraId="17C4CEB4" w14:textId="77777777" w:rsidR="00F725CB" w:rsidRDefault="00F725CB" w:rsidP="00AD0C61">
      <w:pPr>
        <w:pStyle w:val="Testocommento"/>
      </w:pPr>
      <w:r>
        <w:rPr>
          <w:rStyle w:val="Rimandocommento"/>
        </w:rPr>
        <w:annotationRef/>
      </w:r>
      <w:r>
        <w:t>aggiornato</w:t>
      </w:r>
    </w:p>
  </w:comment>
  <w:comment w:id="279" w:author="Paolo Ballanti" w:date="2023-01-09T16:01:00Z" w:initials="PB">
    <w:p w14:paraId="1D50F1D1" w14:textId="77777777" w:rsidR="00F725CB" w:rsidRDefault="00F725CB" w:rsidP="005C78AE">
      <w:pPr>
        <w:pStyle w:val="Testocommento"/>
      </w:pPr>
      <w:r>
        <w:rPr>
          <w:rStyle w:val="Rimandocommento"/>
        </w:rPr>
        <w:annotationRef/>
      </w:r>
      <w:r>
        <w:t>aggiornato</w:t>
      </w:r>
    </w:p>
  </w:comment>
  <w:comment w:id="283" w:author="Paolo Ballanti" w:date="2023-01-09T16:02:00Z" w:initials="PB">
    <w:p w14:paraId="0B2E1F05" w14:textId="77777777" w:rsidR="00C42B05" w:rsidRDefault="00C42B05" w:rsidP="006E1FD0">
      <w:pPr>
        <w:pStyle w:val="Testocommento"/>
      </w:pPr>
      <w:r>
        <w:rPr>
          <w:rStyle w:val="Rimandocommento"/>
        </w:rPr>
        <w:annotationRef/>
      </w:r>
      <w:r>
        <w:t>aggiornato</w:t>
      </w:r>
    </w:p>
  </w:comment>
  <w:comment w:id="308" w:author="Paolo Ballanti" w:date="2023-01-09T16:02:00Z" w:initials="PB">
    <w:p w14:paraId="5EC4829D" w14:textId="77777777" w:rsidR="00C42B05" w:rsidRDefault="00C42B05" w:rsidP="00571781">
      <w:pPr>
        <w:pStyle w:val="Testocommento"/>
      </w:pPr>
      <w:r>
        <w:rPr>
          <w:rStyle w:val="Rimandocommento"/>
        </w:rPr>
        <w:annotationRef/>
      </w:r>
      <w:r>
        <w:t>aggiornato</w:t>
      </w:r>
    </w:p>
  </w:comment>
  <w:comment w:id="338" w:author="Paolo Ballanti" w:date="2023-01-09T16:03:00Z" w:initials="PB">
    <w:p w14:paraId="5E33D43A" w14:textId="77777777" w:rsidR="00C42B05" w:rsidRDefault="00C42B05" w:rsidP="001D3687">
      <w:pPr>
        <w:pStyle w:val="Testocommento"/>
      </w:pPr>
      <w:r>
        <w:rPr>
          <w:rStyle w:val="Rimandocommento"/>
        </w:rPr>
        <w:annotationRef/>
      </w:r>
      <w:r>
        <w:t>aggiornato</w:t>
      </w:r>
    </w:p>
  </w:comment>
  <w:comment w:id="342" w:author="Paolo Ballanti" w:date="2023-01-09T16:03:00Z" w:initials="PB">
    <w:p w14:paraId="0267FC01" w14:textId="77777777" w:rsidR="00C42B05" w:rsidRDefault="00C42B05" w:rsidP="00EC19C4">
      <w:pPr>
        <w:pStyle w:val="Testocommento"/>
      </w:pPr>
      <w:r>
        <w:rPr>
          <w:rStyle w:val="Rimandocommento"/>
        </w:rPr>
        <w:annotationRef/>
      </w:r>
      <w:r>
        <w:t>aggiornato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841006" w15:done="0"/>
  <w15:commentEx w15:paraId="2D7688B3" w15:done="0"/>
  <w15:commentEx w15:paraId="500D1AFE" w15:done="0"/>
  <w15:commentEx w15:paraId="5D35EF98" w15:done="0"/>
  <w15:commentEx w15:paraId="0B705C07" w15:done="0"/>
  <w15:commentEx w15:paraId="19EABC35" w15:done="0"/>
  <w15:commentEx w15:paraId="17C4CEB4" w15:done="0"/>
  <w15:commentEx w15:paraId="1D50F1D1" w15:done="0"/>
  <w15:commentEx w15:paraId="0B2E1F05" w15:done="0"/>
  <w15:commentEx w15:paraId="5EC4829D" w15:done="0"/>
  <w15:commentEx w15:paraId="5E33D43A" w15:done="0"/>
  <w15:commentEx w15:paraId="0267FC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6B5F1" w16cex:dateUtc="2023-01-09T14:49:00Z"/>
  <w16cex:commentExtensible w16cex:durableId="2766B63B" w16cex:dateUtc="2023-01-09T14:50:00Z"/>
  <w16cex:commentExtensible w16cex:durableId="2766B656" w16cex:dateUtc="2023-01-09T14:50:00Z"/>
  <w16cex:commentExtensible w16cex:durableId="2766B69C" w16cex:dateUtc="2023-01-09T14:51:00Z"/>
  <w16cex:commentExtensible w16cex:durableId="2766B692" w16cex:dateUtc="2023-01-09T14:51:00Z"/>
  <w16cex:commentExtensible w16cex:durableId="2766B871" w16cex:dateUtc="2023-01-09T14:59:00Z"/>
  <w16cex:commentExtensible w16cex:durableId="2766B8AC" w16cex:dateUtc="2023-01-09T15:00:00Z"/>
  <w16cex:commentExtensible w16cex:durableId="2766B8C6" w16cex:dateUtc="2023-01-09T15:01:00Z"/>
  <w16cex:commentExtensible w16cex:durableId="2766B8F8" w16cex:dateUtc="2023-01-09T15:02:00Z"/>
  <w16cex:commentExtensible w16cex:durableId="2766B926" w16cex:dateUtc="2023-01-09T15:02:00Z"/>
  <w16cex:commentExtensible w16cex:durableId="2766B939" w16cex:dateUtc="2023-01-09T15:03:00Z"/>
  <w16cex:commentExtensible w16cex:durableId="2766B941" w16cex:dateUtc="2023-01-09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841006" w16cid:durableId="2766B5F1"/>
  <w16cid:commentId w16cid:paraId="2D7688B3" w16cid:durableId="2766B63B"/>
  <w16cid:commentId w16cid:paraId="500D1AFE" w16cid:durableId="2766B656"/>
  <w16cid:commentId w16cid:paraId="5D35EF98" w16cid:durableId="2766B69C"/>
  <w16cid:commentId w16cid:paraId="0B705C07" w16cid:durableId="2766B692"/>
  <w16cid:commentId w16cid:paraId="19EABC35" w16cid:durableId="2766B871"/>
  <w16cid:commentId w16cid:paraId="17C4CEB4" w16cid:durableId="2766B8AC"/>
  <w16cid:commentId w16cid:paraId="1D50F1D1" w16cid:durableId="2766B8C6"/>
  <w16cid:commentId w16cid:paraId="0B2E1F05" w16cid:durableId="2766B8F8"/>
  <w16cid:commentId w16cid:paraId="5EC4829D" w16cid:durableId="2766B926"/>
  <w16cid:commentId w16cid:paraId="5E33D43A" w16cid:durableId="2766B939"/>
  <w16cid:commentId w16cid:paraId="0267FC01" w16cid:durableId="2766B9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3D069" w14:textId="77777777" w:rsidR="00C95E9F" w:rsidRDefault="00C95E9F">
      <w:pPr>
        <w:spacing w:after="0" w:line="240" w:lineRule="auto"/>
      </w:pPr>
      <w:r>
        <w:separator/>
      </w:r>
    </w:p>
  </w:endnote>
  <w:endnote w:type="continuationSeparator" w:id="0">
    <w:p w14:paraId="019E81A0" w14:textId="77777777" w:rsidR="00C95E9F" w:rsidRDefault="00C95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D000605B" w:usb2="00000029" w:usb3="00000000" w:csb0="8001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
    <w:charset w:val="00"/>
    <w:family w:val="swiss"/>
    <w:pitch w:val="default"/>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Vrinda">
    <w:panose1 w:val="00000400000000000000"/>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odPro-CondBold">
    <w:altName w:val="Calibri"/>
    <w:panose1 w:val="00000000000000000000"/>
    <w:charset w:val="00"/>
    <w:family w:val="swiss"/>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2040703060201020203"/>
    <w:charset w:val="00"/>
    <w:family w:val="roman"/>
    <w:notTrueType/>
    <w:pitch w:val="variable"/>
    <w:sig w:usb0="60000287" w:usb1="00000001" w:usb2="00000000" w:usb3="00000000" w:csb0="0000019F" w:csb1="00000000"/>
  </w:font>
  <w:font w:name="HelveticaNeueLTStd-Cn">
    <w:altName w:val="Arial"/>
    <w:panose1 w:val="020B0506030502030204"/>
    <w:charset w:val="00"/>
    <w:family w:val="swiss"/>
    <w:pitch w:val="variable"/>
  </w:font>
  <w:font w:name="HelveticaNeueLTStd-BdCn">
    <w:panose1 w:val="020B0706030502030204"/>
    <w:charset w:val="00"/>
    <w:family w:val="swiss"/>
    <w:pitch w:val="default"/>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FS Lol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1A99" w14:textId="77777777" w:rsidR="00CC00D4" w:rsidRDefault="00CC00D4"/>
  <w:tbl>
    <w:tblPr>
      <w:tblW w:w="0" w:type="auto"/>
      <w:tblInd w:w="108" w:type="dxa"/>
      <w:tblLayout w:type="fixed"/>
      <w:tblLook w:val="0000" w:firstRow="0" w:lastRow="0" w:firstColumn="0" w:lastColumn="0" w:noHBand="0" w:noVBand="0"/>
    </w:tblPr>
    <w:tblGrid>
      <w:gridCol w:w="9464"/>
    </w:tblGrid>
    <w:tr w:rsidR="00CC00D4" w14:paraId="24F72237" w14:textId="77777777">
      <w:trPr>
        <w:trHeight w:val="274"/>
      </w:trPr>
      <w:tc>
        <w:tcPr>
          <w:tcW w:w="9464" w:type="dxa"/>
          <w:tcBorders>
            <w:top w:val="single" w:sz="4" w:space="0" w:color="FF0000"/>
          </w:tcBorders>
          <w:shd w:val="clear" w:color="auto" w:fill="auto"/>
        </w:tcPr>
        <w:p w14:paraId="7CA457FD" w14:textId="77777777" w:rsidR="00CC00D4" w:rsidRDefault="00CC00D4">
          <w:pPr>
            <w:widowControl w:val="0"/>
            <w:snapToGrid w:val="0"/>
            <w:spacing w:after="0" w:line="200" w:lineRule="exact"/>
            <w:rPr>
              <w:rFonts w:eastAsia="Calibri" w:cs="Tahoma"/>
              <w:b/>
              <w:color w:val="4F81BD"/>
              <w:sz w:val="18"/>
              <w:szCs w:val="18"/>
            </w:rPr>
          </w:pPr>
        </w:p>
        <w:p w14:paraId="47D08124" w14:textId="77777777" w:rsidR="00CC00D4" w:rsidRDefault="00CC00D4">
          <w:pPr>
            <w:widowControl w:val="0"/>
            <w:spacing w:after="0" w:line="200" w:lineRule="exact"/>
          </w:pPr>
          <w:r>
            <w:rPr>
              <w:rFonts w:eastAsia="Calibri" w:cs="Tahoma"/>
              <w:b/>
              <w:color w:val="4F81BD"/>
              <w:sz w:val="18"/>
              <w:szCs w:val="18"/>
            </w:rPr>
            <w:t xml:space="preserve">E Book – Collana I PRATICI di </w:t>
          </w:r>
          <w:proofErr w:type="spellStart"/>
          <w:r>
            <w:rPr>
              <w:rFonts w:eastAsia="Calibri" w:cs="Tahoma"/>
              <w:b/>
              <w:color w:val="4F81BD"/>
              <w:sz w:val="18"/>
              <w:szCs w:val="18"/>
            </w:rPr>
            <w:t>Fiscoetasse</w:t>
          </w:r>
          <w:proofErr w:type="spellEnd"/>
          <w:r>
            <w:rPr>
              <w:rFonts w:eastAsia="Calibri"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37E84D2E" w14:textId="77777777" w:rsidR="00CC00D4" w:rsidRDefault="00CC00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12AE" w14:textId="77777777" w:rsidR="00A70307" w:rsidRDefault="00A70307"/>
  <w:tbl>
    <w:tblPr>
      <w:tblW w:w="0" w:type="auto"/>
      <w:tblInd w:w="108" w:type="dxa"/>
      <w:tblLayout w:type="fixed"/>
      <w:tblLook w:val="0000" w:firstRow="0" w:lastRow="0" w:firstColumn="0" w:lastColumn="0" w:noHBand="0" w:noVBand="0"/>
    </w:tblPr>
    <w:tblGrid>
      <w:gridCol w:w="9464"/>
    </w:tblGrid>
    <w:tr w:rsidR="00A70307" w14:paraId="1CAF6736" w14:textId="77777777">
      <w:trPr>
        <w:trHeight w:val="274"/>
      </w:trPr>
      <w:tc>
        <w:tcPr>
          <w:tcW w:w="9464" w:type="dxa"/>
          <w:tcBorders>
            <w:top w:val="single" w:sz="4" w:space="0" w:color="FF0000"/>
          </w:tcBorders>
          <w:shd w:val="clear" w:color="auto" w:fill="auto"/>
        </w:tcPr>
        <w:p w14:paraId="4A587C72" w14:textId="77777777" w:rsidR="00A70307" w:rsidRDefault="00A70307">
          <w:pPr>
            <w:widowControl w:val="0"/>
            <w:snapToGrid w:val="0"/>
            <w:spacing w:after="0" w:line="200" w:lineRule="exact"/>
            <w:rPr>
              <w:rFonts w:eastAsia="Calibri" w:cs="Tahoma"/>
              <w:b/>
              <w:color w:val="4F81BD"/>
              <w:sz w:val="18"/>
              <w:szCs w:val="18"/>
            </w:rPr>
          </w:pPr>
        </w:p>
        <w:p w14:paraId="3FAAF615" w14:textId="77777777" w:rsidR="00A70307" w:rsidRDefault="00A70307">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FF2647">
            <w:rPr>
              <w:rFonts w:eastAsia="Calibri" w:cs="Tahoma"/>
              <w:b/>
              <w:noProof/>
              <w:color w:val="4F81BD"/>
              <w:sz w:val="18"/>
              <w:szCs w:val="18"/>
            </w:rPr>
            <w:t>41</w:t>
          </w:r>
          <w:r>
            <w:rPr>
              <w:rFonts w:eastAsia="Calibri" w:cs="Tahoma"/>
              <w:b/>
              <w:color w:val="4F81BD"/>
              <w:sz w:val="18"/>
              <w:szCs w:val="18"/>
            </w:rPr>
            <w:fldChar w:fldCharType="end"/>
          </w:r>
          <w:r>
            <w:rPr>
              <w:rFonts w:eastAsia="Calibri" w:cs="Tahoma"/>
              <w:b/>
              <w:color w:val="4F81BD"/>
              <w:sz w:val="18"/>
              <w:szCs w:val="18"/>
            </w:rPr>
            <w:t xml:space="preserve"> </w:t>
          </w:r>
        </w:p>
      </w:tc>
    </w:tr>
  </w:tbl>
  <w:p w14:paraId="10174575" w14:textId="77777777" w:rsidR="00A70307" w:rsidRDefault="00A70307">
    <w:pPr>
      <w:widowControl w:val="0"/>
      <w:jc w:val="left"/>
      <w:rPr>
        <w:rFonts w:eastAsia="Liberation Serif" w:cs="Liberation Serif"/>
        <w:kern w:val="2"/>
        <w:sz w:val="24"/>
        <w:szCs w:val="24"/>
        <w:lang w:eastAsia="hi-IN" w:bidi="hi-I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3D0C" w14:textId="77777777" w:rsidR="00A70307" w:rsidRDefault="00A70307"/>
  <w:p w14:paraId="6420B053" w14:textId="77777777" w:rsidR="00A70307" w:rsidRDefault="00A703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3512A" w14:textId="77777777" w:rsidR="00C95E9F" w:rsidRDefault="00C95E9F">
      <w:pPr>
        <w:spacing w:after="0" w:line="240" w:lineRule="auto"/>
      </w:pPr>
      <w:r>
        <w:separator/>
      </w:r>
    </w:p>
  </w:footnote>
  <w:footnote w:type="continuationSeparator" w:id="0">
    <w:p w14:paraId="75DD4F1D" w14:textId="77777777" w:rsidR="00C95E9F" w:rsidRDefault="00C95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A379" w14:textId="77777777" w:rsidR="00CC00D4" w:rsidRDefault="00CC00D4">
    <w:pPr>
      <w:pStyle w:val="Intestazione"/>
    </w:pPr>
    <w:r>
      <w:rPr>
        <w:noProof/>
        <w:lang w:eastAsia="it-IT"/>
      </w:rPr>
      <mc:AlternateContent>
        <mc:Choice Requires="wps">
          <w:drawing>
            <wp:anchor distT="0" distB="0" distL="114935" distR="114935" simplePos="0" relativeHeight="251660800" behindDoc="1" locked="0" layoutInCell="1" allowOverlap="1" wp14:anchorId="388BB039" wp14:editId="61F4518C">
              <wp:simplePos x="0" y="0"/>
              <wp:positionH relativeFrom="page">
                <wp:posOffset>1033780</wp:posOffset>
              </wp:positionH>
              <wp:positionV relativeFrom="page">
                <wp:posOffset>387350</wp:posOffset>
              </wp:positionV>
              <wp:extent cx="5709285" cy="370205"/>
              <wp:effectExtent l="5080" t="6350" r="635"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B2490" w14:textId="57B93F56" w:rsidR="00CC00D4" w:rsidRPr="00E44F70" w:rsidRDefault="00CC00D4" w:rsidP="00E44F70">
                          <w:pPr>
                            <w:pStyle w:val="Intestazione"/>
                            <w:jc w:val="center"/>
                            <w:rPr>
                              <w:rFonts w:ascii="Tahoma" w:eastAsia="Minion Pro" w:hAnsi="Tahoma" w:cs="Tahoma"/>
                              <w:color w:val="BFBFBF" w:themeColor="background1" w:themeShade="BF"/>
                              <w:spacing w:val="-4"/>
                              <w:position w:val="1"/>
                              <w:sz w:val="18"/>
                              <w:szCs w:val="18"/>
                              <w:u w:val="single"/>
                            </w:rPr>
                          </w:pPr>
                          <w:r w:rsidRPr="00E44F70">
                            <w:rPr>
                              <w:rFonts w:ascii="Tahoma" w:eastAsia="Minion Pro" w:hAnsi="Tahoma" w:cs="Tahoma"/>
                              <w:color w:val="BFBFBF" w:themeColor="background1" w:themeShade="BF"/>
                              <w:spacing w:val="-4"/>
                              <w:position w:val="1"/>
                              <w:sz w:val="18"/>
                              <w:szCs w:val="18"/>
                              <w:u w:val="single"/>
                            </w:rPr>
                            <w:t>PAOLO BALLANTI – LA</w:t>
                          </w:r>
                          <w:r w:rsidR="00C13356">
                            <w:rPr>
                              <w:rFonts w:ascii="Tahoma" w:eastAsia="Minion Pro" w:hAnsi="Tahoma" w:cs="Tahoma"/>
                              <w:color w:val="BFBFBF" w:themeColor="background1" w:themeShade="BF"/>
                              <w:spacing w:val="-4"/>
                              <w:position w:val="1"/>
                              <w:sz w:val="18"/>
                              <w:szCs w:val="18"/>
                              <w:u w:val="single"/>
                            </w:rPr>
                            <w:t>VORO AUTONOMO OCCASIONALE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BB039" id="_x0000_t202" coordsize="21600,21600" o:spt="202" path="m,l,21600r21600,l21600,xe">
              <v:stroke joinstyle="miter"/>
              <v:path gradientshapeok="t" o:connecttype="rect"/>
            </v:shapetype>
            <v:shape id="Text Box 1" o:spid="_x0000_s1026" type="#_x0000_t202" style="position:absolute;left:0;text-align:left;margin-left:81.4pt;margin-top:30.5pt;width:449.55pt;height:29.15pt;z-index:-2516556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066B2490" w14:textId="57B93F56" w:rsidR="00CC00D4" w:rsidRPr="00E44F70" w:rsidRDefault="00CC00D4" w:rsidP="00E44F70">
                    <w:pPr>
                      <w:pStyle w:val="Intestazione"/>
                      <w:jc w:val="center"/>
                      <w:rPr>
                        <w:rFonts w:ascii="Tahoma" w:eastAsia="Minion Pro" w:hAnsi="Tahoma" w:cs="Tahoma"/>
                        <w:color w:val="BFBFBF" w:themeColor="background1" w:themeShade="BF"/>
                        <w:spacing w:val="-4"/>
                        <w:position w:val="1"/>
                        <w:sz w:val="18"/>
                        <w:szCs w:val="18"/>
                        <w:u w:val="single"/>
                      </w:rPr>
                    </w:pPr>
                    <w:r w:rsidRPr="00E44F70">
                      <w:rPr>
                        <w:rFonts w:ascii="Tahoma" w:eastAsia="Minion Pro" w:hAnsi="Tahoma" w:cs="Tahoma"/>
                        <w:color w:val="BFBFBF" w:themeColor="background1" w:themeShade="BF"/>
                        <w:spacing w:val="-4"/>
                        <w:position w:val="1"/>
                        <w:sz w:val="18"/>
                        <w:szCs w:val="18"/>
                        <w:u w:val="single"/>
                      </w:rPr>
                      <w:t>PAOLO BALLANTI – LA</w:t>
                    </w:r>
                    <w:r w:rsidR="00C13356">
                      <w:rPr>
                        <w:rFonts w:ascii="Tahoma" w:eastAsia="Minion Pro" w:hAnsi="Tahoma" w:cs="Tahoma"/>
                        <w:color w:val="BFBFBF" w:themeColor="background1" w:themeShade="BF"/>
                        <w:spacing w:val="-4"/>
                        <w:position w:val="1"/>
                        <w:sz w:val="18"/>
                        <w:szCs w:val="18"/>
                        <w:u w:val="single"/>
                      </w:rPr>
                      <w:t>VORO AUTONOMO OCCASIONALE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14FB" w14:textId="77777777" w:rsidR="00A70307" w:rsidRDefault="00985370">
    <w:pPr>
      <w:pStyle w:val="Intestazione"/>
      <w:rPr>
        <w:lang w:eastAsia="it-IT"/>
      </w:rPr>
    </w:pPr>
    <w:r>
      <w:rPr>
        <w:noProof/>
        <w:lang w:eastAsia="it-IT"/>
      </w:rPr>
      <mc:AlternateContent>
        <mc:Choice Requires="wps">
          <w:drawing>
            <wp:anchor distT="0" distB="0" distL="114935" distR="114935" simplePos="0" relativeHeight="251658752" behindDoc="1" locked="0" layoutInCell="1" allowOverlap="1" wp14:anchorId="27D79D59" wp14:editId="15BC26AB">
              <wp:simplePos x="0" y="0"/>
              <wp:positionH relativeFrom="page">
                <wp:posOffset>1033780</wp:posOffset>
              </wp:positionH>
              <wp:positionV relativeFrom="page">
                <wp:posOffset>387350</wp:posOffset>
              </wp:positionV>
              <wp:extent cx="5709285" cy="37020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315E01B0" w14:textId="7DE8B57C" w:rsidR="005A7AC3" w:rsidRDefault="005A7AC3" w:rsidP="005A7AC3">
                          <w:pPr>
                            <w:pStyle w:val="Indice"/>
                            <w:jc w:val="center"/>
                          </w:pPr>
                          <w:r>
                            <w:rPr>
                              <w:rFonts w:ascii="Tahoma" w:eastAsia="Minion Pro" w:hAnsi="Tahoma" w:cs="Tahoma"/>
                              <w:color w:val="BFBFBF"/>
                              <w:spacing w:val="-4"/>
                              <w:position w:val="1"/>
                              <w:sz w:val="18"/>
                              <w:szCs w:val="18"/>
                              <w:u w:val="single"/>
                            </w:rPr>
                            <w:t xml:space="preserve">PAOLO BALLANTI – </w:t>
                          </w:r>
                          <w:r w:rsidR="00C13356">
                            <w:rPr>
                              <w:rFonts w:ascii="Tahoma" w:eastAsia="Minion Pro" w:hAnsi="Tahoma" w:cs="Tahoma"/>
                              <w:color w:val="BFBFBF"/>
                              <w:spacing w:val="-4"/>
                              <w:position w:val="1"/>
                              <w:sz w:val="18"/>
                              <w:szCs w:val="18"/>
                              <w:u w:val="single"/>
                            </w:rPr>
                            <w:t>LAVORO AUTONOMO OCCASIONALE</w:t>
                          </w:r>
                        </w:p>
                        <w:p w14:paraId="7E7398F2" w14:textId="77777777" w:rsidR="000503FE" w:rsidRDefault="000503FE">
                          <w:pPr>
                            <w:pStyle w:val="Intestazione"/>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79D59" id="_x0000_t202" coordsize="21600,21600" o:spt="202" path="m,l,21600r21600,l21600,xe">
              <v:stroke joinstyle="miter"/>
              <v:path gradientshapeok="t" o:connecttype="rect"/>
            </v:shapetype>
            <v:shape id="Casella di testo 1" o:spid="_x0000_s1027" type="#_x0000_t202" style="position:absolute;left:0;text-align:left;margin-left:81.4pt;margin-top:30.5pt;width:449.55pt;height:29.1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315E01B0" w14:textId="7DE8B57C" w:rsidR="005A7AC3" w:rsidRDefault="005A7AC3" w:rsidP="005A7AC3">
                    <w:pPr>
                      <w:pStyle w:val="Indice"/>
                      <w:jc w:val="center"/>
                    </w:pPr>
                    <w:r>
                      <w:rPr>
                        <w:rFonts w:ascii="Tahoma" w:eastAsia="Minion Pro" w:hAnsi="Tahoma" w:cs="Tahoma"/>
                        <w:color w:val="BFBFBF"/>
                        <w:spacing w:val="-4"/>
                        <w:position w:val="1"/>
                        <w:sz w:val="18"/>
                        <w:szCs w:val="18"/>
                        <w:u w:val="single"/>
                      </w:rPr>
                      <w:t xml:space="preserve">PAOLO BALLANTI – </w:t>
                    </w:r>
                    <w:r w:rsidR="00C13356">
                      <w:rPr>
                        <w:rFonts w:ascii="Tahoma" w:eastAsia="Minion Pro" w:hAnsi="Tahoma" w:cs="Tahoma"/>
                        <w:color w:val="BFBFBF"/>
                        <w:spacing w:val="-4"/>
                        <w:position w:val="1"/>
                        <w:sz w:val="18"/>
                        <w:szCs w:val="18"/>
                        <w:u w:val="single"/>
                      </w:rPr>
                      <w:t>LAVORO AUTONOMO OCCASIONALE</w:t>
                    </w:r>
                  </w:p>
                  <w:p w14:paraId="7E7398F2" w14:textId="77777777" w:rsidR="000503FE" w:rsidRDefault="000503FE">
                    <w:pPr>
                      <w:pStyle w:val="Intestazione"/>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894E" w14:textId="77777777" w:rsidR="00A70307" w:rsidRDefault="00A70307"/>
  <w:p w14:paraId="22C843A3" w14:textId="77777777" w:rsidR="00A70307" w:rsidRDefault="00A703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B567D68"/>
    <w:lvl w:ilvl="0">
      <w:start w:val="1"/>
      <w:numFmt w:val="none"/>
      <w:pStyle w:val="Titolo1"/>
      <w:suff w:val="nothing"/>
      <w:lvlText w:val=""/>
      <w:lvlJc w:val="left"/>
      <w:pPr>
        <w:tabs>
          <w:tab w:val="num" w:pos="0"/>
        </w:tabs>
        <w:ind w:left="432" w:hanging="432"/>
      </w:pPr>
      <w:rPr>
        <w:rFonts w:cs="Tahoma"/>
        <w:b/>
        <w:sz w:val="24"/>
        <w:szCs w:val="24"/>
      </w:rPr>
    </w:lvl>
    <w:lvl w:ilvl="1">
      <w:start w:val="1"/>
      <w:numFmt w:val="none"/>
      <w:suff w:val="nothing"/>
      <w:lvlText w:val=""/>
      <w:lvlJc w:val="left"/>
      <w:pPr>
        <w:tabs>
          <w:tab w:val="num" w:pos="0"/>
        </w:tabs>
        <w:ind w:left="0" w:firstLine="0"/>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Puntoelenco21"/>
      <w:lvlText w:val=""/>
      <w:lvlJc w:val="left"/>
      <w:pPr>
        <w:tabs>
          <w:tab w:val="num" w:pos="0"/>
        </w:tabs>
        <w:ind w:left="0" w:firstLine="0"/>
      </w:pPr>
      <w:rPr>
        <w:rFonts w:ascii="Symbol" w:hAnsi="Symbol" w:cs="OpenSymbol"/>
        <w:caps w:val="0"/>
        <w:smallCaps w:val="0"/>
        <w:color w:val="000000"/>
        <w:sz w:val="20"/>
        <w:szCs w:val="20"/>
        <w:lang w:val="it-IT"/>
      </w:rPr>
    </w:lvl>
  </w:abstractNum>
  <w:abstractNum w:abstractNumId="2" w15:restartNumberingAfterBreak="0">
    <w:nsid w:val="00000003"/>
    <w:multiLevelType w:val="singleLevel"/>
    <w:tmpl w:val="00000003"/>
    <w:name w:val="WW8Num3"/>
    <w:lvl w:ilvl="0">
      <w:numFmt w:val="bullet"/>
      <w:pStyle w:val="Puntoelenco1"/>
      <w:lvlText w:val="•"/>
      <w:lvlJc w:val="left"/>
      <w:pPr>
        <w:tabs>
          <w:tab w:val="num" w:pos="0"/>
        </w:tabs>
        <w:ind w:left="720" w:hanging="360"/>
      </w:pPr>
      <w:rPr>
        <w:rFonts w:ascii="Bookman Old Style" w:hAnsi="Bookman Old Style" w:cs="OpenSymbol"/>
        <w:caps w:val="0"/>
        <w:smallCaps w:val="0"/>
        <w:sz w:val="20"/>
        <w:szCs w:val="20"/>
      </w:rPr>
    </w:lvl>
  </w:abstractNum>
  <w:abstractNum w:abstractNumId="3" w15:restartNumberingAfterBreak="0">
    <w:nsid w:val="00000004"/>
    <w:multiLevelType w:val="multilevel"/>
    <w:tmpl w:val="00000004"/>
    <w:name w:val="WW8Num4"/>
    <w:lvl w:ilvl="0">
      <w:start w:val="1"/>
      <w:numFmt w:val="bullet"/>
      <w:pStyle w:val="Sottobullet"/>
      <w:lvlText w:val="-"/>
      <w:lvlJc w:val="left"/>
      <w:pPr>
        <w:tabs>
          <w:tab w:val="num" w:pos="1454"/>
        </w:tabs>
        <w:ind w:left="1454" w:hanging="377"/>
      </w:pPr>
      <w:rPr>
        <w:rFonts w:ascii="Times New Roman" w:hAnsi="Times New Roman" w:cs="OpenSymbol"/>
        <w:caps w:val="0"/>
        <w:smallCaps w:val="0"/>
        <w:szCs w:val="20"/>
        <w:lang w:val="it-IT"/>
      </w:rPr>
    </w:lvl>
    <w:lvl w:ilvl="1">
      <w:start w:val="1"/>
      <w:numFmt w:val="bullet"/>
      <w:lvlText w:val=""/>
      <w:lvlJc w:val="left"/>
      <w:pPr>
        <w:tabs>
          <w:tab w:val="num" w:pos="1457"/>
        </w:tabs>
        <w:ind w:left="1457" w:hanging="377"/>
      </w:pPr>
      <w:rPr>
        <w:rFonts w:ascii="Symbol" w:hAnsi="Symbol" w:cs="Open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name w:val="WW8Num5"/>
    <w:lvl w:ilvl="0">
      <w:numFmt w:val="bullet"/>
      <w:pStyle w:val="Testofumettopuntato"/>
      <w:lvlText w:val="•"/>
      <w:lvlJc w:val="left"/>
      <w:pPr>
        <w:tabs>
          <w:tab w:val="num" w:pos="360"/>
        </w:tabs>
        <w:ind w:left="0" w:firstLine="0"/>
      </w:pPr>
      <w:rPr>
        <w:rFonts w:ascii="Bookman Old Style" w:hAnsi="Bookman Old Style" w:cs="OpenSymbol"/>
        <w:caps w:val="0"/>
        <w:smallCaps w:val="0"/>
        <w:szCs w:val="20"/>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6"/>
    <w:multiLevelType w:val="singleLevel"/>
    <w:tmpl w:val="00000006"/>
    <w:name w:val="WW8Num6"/>
    <w:lvl w:ilvl="0">
      <w:start w:val="1"/>
      <w:numFmt w:val="bullet"/>
      <w:pStyle w:val="BulletedListundernumpara"/>
      <w:lvlText w:val=""/>
      <w:lvlJc w:val="left"/>
      <w:pPr>
        <w:tabs>
          <w:tab w:val="num" w:pos="936"/>
        </w:tabs>
        <w:ind w:left="936" w:hanging="216"/>
      </w:pPr>
      <w:rPr>
        <w:rFonts w:ascii="Symbol" w:hAnsi="Symbol" w:cs="OpenSymbol"/>
        <w:caps w:val="0"/>
        <w:smallCaps w:val="0"/>
        <w:szCs w:val="20"/>
        <w:lang w:val="it-IT"/>
      </w:rPr>
    </w:lvl>
  </w:abstractNum>
  <w:abstractNum w:abstractNumId="6" w15:restartNumberingAfterBreak="0">
    <w:nsid w:val="00000007"/>
    <w:multiLevelType w:val="singleLevel"/>
    <w:tmpl w:val="00000007"/>
    <w:name w:val="WW8Num7"/>
    <w:lvl w:ilvl="0">
      <w:start w:val="1"/>
      <w:numFmt w:val="decimal"/>
      <w:pStyle w:val="Puntoelenco31"/>
      <w:lvlText w:val="%1."/>
      <w:lvlJc w:val="left"/>
      <w:pPr>
        <w:tabs>
          <w:tab w:val="num" w:pos="0"/>
        </w:tabs>
        <w:ind w:left="1080" w:hanging="360"/>
      </w:pPr>
      <w:rPr>
        <w:rFonts w:ascii="Symbol" w:hAnsi="Symbol" w:cs="OpenSymbol"/>
        <w:caps w:val="0"/>
        <w:smallCaps w:val="0"/>
        <w:lang w:val="it-IT"/>
      </w:rPr>
    </w:lvl>
  </w:abstractNum>
  <w:abstractNum w:abstractNumId="7" w15:restartNumberingAfterBreak="0">
    <w:nsid w:val="00000008"/>
    <w:multiLevelType w:val="multilevel"/>
    <w:tmpl w:val="00000008"/>
    <w:name w:val="WW8Num8"/>
    <w:lvl w:ilvl="0">
      <w:start w:val="2"/>
      <w:numFmt w:val="decimal"/>
      <w:pStyle w:val="Titolo3ter"/>
      <w:lvlText w:val="%1"/>
      <w:lvlJc w:val="left"/>
      <w:pPr>
        <w:tabs>
          <w:tab w:val="num" w:pos="-598"/>
        </w:tabs>
        <w:ind w:left="958" w:firstLine="0"/>
      </w:pPr>
      <w:rPr>
        <w:rFonts w:ascii="Symbol" w:hAnsi="Symbol" w:cs="OpenSymbol"/>
        <w:caps w:val="0"/>
        <w:smallCaps w:val="0"/>
        <w:sz w:val="20"/>
        <w:szCs w:val="20"/>
        <w:lang w:val="it-IT"/>
      </w:rPr>
    </w:lvl>
    <w:lvl w:ilvl="1">
      <w:start w:val="1"/>
      <w:numFmt w:val="decimal"/>
      <w:lvlText w:val="%1.%2"/>
      <w:lvlJc w:val="left"/>
      <w:pPr>
        <w:tabs>
          <w:tab w:val="num" w:pos="576"/>
        </w:tabs>
        <w:ind w:left="576" w:hanging="576"/>
      </w:pPr>
      <w:rPr>
        <w:rFonts w:ascii="Symbol" w:hAnsi="Symbol" w:cs="OpenSymbol"/>
        <w:caps w:val="0"/>
        <w:smallCaps w:val="0"/>
        <w:sz w:val="20"/>
        <w:szCs w:val="20"/>
        <w:lang w:val="it-IT"/>
      </w:rPr>
    </w:lvl>
    <w:lvl w:ilvl="2">
      <w:start w:val="1"/>
      <w:numFmt w:val="decimal"/>
      <w:lvlText w:val="Articolo %3. "/>
      <w:lvlJc w:val="left"/>
      <w:pPr>
        <w:tabs>
          <w:tab w:val="num" w:pos="1440"/>
        </w:tabs>
        <w:ind w:left="0" w:firstLine="0"/>
      </w:pPr>
      <w:rPr>
        <w:rFonts w:ascii="Wingdings" w:hAnsi="Wingdings" w:cs="Wingdings" w:hint="default"/>
        <w:sz w:val="20"/>
      </w:rPr>
    </w:lvl>
    <w:lvl w:ilvl="3">
      <w:start w:val="1"/>
      <w:numFmt w:val="decimal"/>
      <w:lvlText w:val="%2.%3.%4"/>
      <w:lvlJc w:val="left"/>
      <w:pPr>
        <w:tabs>
          <w:tab w:val="num" w:pos="720"/>
        </w:tabs>
        <w:ind w:left="284" w:hanging="284"/>
      </w:pPr>
      <w:rPr>
        <w:rFonts w:ascii="Symbol" w:hAnsi="Symbol" w:cs="OpenSymbol"/>
        <w:caps w:val="0"/>
        <w:smallCaps w:val="0"/>
        <w:sz w:val="20"/>
        <w:szCs w:val="20"/>
        <w:lang w:val="it-IT"/>
      </w:rPr>
    </w:lvl>
    <w:lvl w:ilvl="4">
      <w:start w:val="1"/>
      <w:numFmt w:val="decimal"/>
      <w:lvlText w:val="%2.%3.%4.%5"/>
      <w:lvlJc w:val="left"/>
      <w:pPr>
        <w:tabs>
          <w:tab w:val="num" w:pos="1008"/>
        </w:tabs>
        <w:ind w:left="1008" w:hanging="1008"/>
      </w:pPr>
      <w:rPr>
        <w:rFonts w:ascii="Symbol" w:hAnsi="Symbol" w:cs="OpenSymbol"/>
        <w:caps w:val="0"/>
        <w:smallCaps w:val="0"/>
        <w:sz w:val="20"/>
        <w:szCs w:val="20"/>
        <w:lang w:val="it-IT"/>
      </w:rPr>
    </w:lvl>
    <w:lvl w:ilvl="5">
      <w:start w:val="1"/>
      <w:numFmt w:val="decimal"/>
      <w:lvlText w:val="%1.%2.%3.%4.%5.%6"/>
      <w:lvlJc w:val="left"/>
      <w:pPr>
        <w:tabs>
          <w:tab w:val="num" w:pos="1152"/>
        </w:tabs>
        <w:ind w:left="1152" w:hanging="1152"/>
      </w:pPr>
      <w:rPr>
        <w:rFonts w:ascii="Symbol" w:hAnsi="Symbol" w:cs="OpenSymbol"/>
        <w:caps w:val="0"/>
        <w:smallCaps w:val="0"/>
        <w:sz w:val="20"/>
        <w:szCs w:val="20"/>
        <w:lang w:val="it-IT"/>
      </w:rPr>
    </w:lvl>
    <w:lvl w:ilvl="6">
      <w:start w:val="1"/>
      <w:numFmt w:val="decimal"/>
      <w:lvlText w:val="%1.%2.%3.%4.%5.%6.%7"/>
      <w:lvlJc w:val="left"/>
      <w:pPr>
        <w:tabs>
          <w:tab w:val="num" w:pos="1296"/>
        </w:tabs>
        <w:ind w:left="1296" w:hanging="1296"/>
      </w:pPr>
      <w:rPr>
        <w:rFonts w:ascii="Symbol" w:hAnsi="Symbol" w:cs="OpenSymbol"/>
        <w:caps w:val="0"/>
        <w:smallCaps w:val="0"/>
        <w:sz w:val="20"/>
        <w:szCs w:val="20"/>
        <w:lang w:val="it-IT"/>
      </w:rPr>
    </w:lvl>
    <w:lvl w:ilvl="7">
      <w:start w:val="1"/>
      <w:numFmt w:val="decimal"/>
      <w:lvlText w:val="%1.%2.%3.%4.%5.%6.%7.%8"/>
      <w:lvlJc w:val="left"/>
      <w:pPr>
        <w:tabs>
          <w:tab w:val="num" w:pos="1440"/>
        </w:tabs>
        <w:ind w:left="1440" w:hanging="1440"/>
      </w:pPr>
      <w:rPr>
        <w:rFonts w:ascii="Symbol" w:hAnsi="Symbol" w:cs="OpenSymbol"/>
        <w:caps w:val="0"/>
        <w:smallCaps w:val="0"/>
        <w:sz w:val="20"/>
        <w:szCs w:val="20"/>
        <w:lang w:val="it-IT"/>
      </w:rPr>
    </w:lvl>
    <w:lvl w:ilvl="8">
      <w:start w:val="1"/>
      <w:numFmt w:val="decimal"/>
      <w:lvlText w:val="%1.%2.%3.%4.%5.%6.%7.%8.%9"/>
      <w:lvlJc w:val="left"/>
      <w:pPr>
        <w:tabs>
          <w:tab w:val="num" w:pos="1584"/>
        </w:tabs>
        <w:ind w:left="1584" w:hanging="1584"/>
      </w:pPr>
      <w:rPr>
        <w:rFonts w:ascii="Symbol" w:hAnsi="Symbol" w:cs="OpenSymbol"/>
        <w:caps w:val="0"/>
        <w:smallCaps w:val="0"/>
        <w:sz w:val="20"/>
        <w:szCs w:val="20"/>
        <w:lang w:val="it-IT"/>
      </w:rPr>
    </w:lvl>
  </w:abstractNum>
  <w:abstractNum w:abstractNumId="8" w15:restartNumberingAfterBreak="0">
    <w:nsid w:val="00000009"/>
    <w:multiLevelType w:val="multilevel"/>
    <w:tmpl w:val="00000009"/>
    <w:name w:val="WW8Num9"/>
    <w:lvl w:ilvl="0">
      <w:start w:val="1"/>
      <w:numFmt w:val="bullet"/>
      <w:pStyle w:val="Bullet"/>
      <w:lvlText w:val=""/>
      <w:lvlJc w:val="left"/>
      <w:pPr>
        <w:tabs>
          <w:tab w:val="num" w:pos="377"/>
        </w:tabs>
        <w:ind w:left="377" w:hanging="377"/>
      </w:pPr>
      <w:rPr>
        <w:rFonts w:ascii="Symbol" w:hAnsi="Symbol" w:cs="OpenSymbol"/>
        <w:caps w:val="0"/>
        <w:smallCaps w:val="0"/>
        <w:lang w:val="it-IT"/>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Symbol" w:hAnsi="Symbol" w:cs="OpenSymbol"/>
        <w:caps w:val="0"/>
        <w:smallCaps w:val="0"/>
        <w:lang w:val="it-IT"/>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Symbol" w:hAnsi="Symbol" w:cs="OpenSymbol"/>
        <w:caps w:val="0"/>
        <w:smallCaps w:val="0"/>
        <w:lang w:val="it-IT"/>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A"/>
    <w:multiLevelType w:val="multilevel"/>
    <w:tmpl w:val="0000000A"/>
    <w:name w:val="WW8Num10"/>
    <w:lvl w:ilvl="0">
      <w:start w:val="2"/>
      <w:numFmt w:val="decimal"/>
      <w:pStyle w:val="Titolo3b"/>
      <w:lvlText w:val="%1"/>
      <w:lvlJc w:val="left"/>
      <w:pPr>
        <w:tabs>
          <w:tab w:val="num" w:pos="-598"/>
        </w:tabs>
        <w:ind w:left="958" w:firstLine="0"/>
      </w:pPr>
      <w:rPr>
        <w:rFonts w:ascii="Symbol" w:hAnsi="Symbol" w:cs="OpenSymbol"/>
        <w:caps w:val="0"/>
        <w:smallCaps w:val="0"/>
        <w:sz w:val="20"/>
        <w:szCs w:val="20"/>
      </w:rPr>
    </w:lvl>
    <w:lvl w:ilvl="1">
      <w:start w:val="1"/>
      <w:numFmt w:val="decimal"/>
      <w:lvlText w:val="%1.%2"/>
      <w:lvlJc w:val="left"/>
      <w:pPr>
        <w:tabs>
          <w:tab w:val="num" w:pos="576"/>
        </w:tabs>
        <w:ind w:left="576" w:hanging="576"/>
      </w:pPr>
      <w:rPr>
        <w:rFonts w:ascii="Symbol" w:hAnsi="Symbol" w:cs="OpenSymbol"/>
        <w:caps w:val="0"/>
        <w:smallCaps w:val="0"/>
        <w:sz w:val="20"/>
        <w:szCs w:val="20"/>
      </w:rPr>
    </w:lvl>
    <w:lvl w:ilvl="2">
      <w:start w:val="1"/>
      <w:numFmt w:val="decimal"/>
      <w:lvlText w:val="Articolo %3."/>
      <w:lvlJc w:val="left"/>
      <w:pPr>
        <w:tabs>
          <w:tab w:val="num" w:pos="1080"/>
        </w:tabs>
        <w:ind w:left="397" w:hanging="397"/>
      </w:pPr>
      <w:rPr>
        <w:rFonts w:ascii="Wingdings" w:hAnsi="Wingdings" w:cs="Wingdings" w:hint="default"/>
        <w:sz w:val="20"/>
      </w:rPr>
    </w:lvl>
    <w:lvl w:ilvl="3">
      <w:start w:val="1"/>
      <w:numFmt w:val="decimal"/>
      <w:lvlText w:val="%2.%3.%4"/>
      <w:lvlJc w:val="left"/>
      <w:pPr>
        <w:tabs>
          <w:tab w:val="num" w:pos="720"/>
        </w:tabs>
        <w:ind w:left="284" w:hanging="284"/>
      </w:pPr>
      <w:rPr>
        <w:rFonts w:ascii="Symbol" w:hAnsi="Symbol" w:cs="OpenSymbol"/>
        <w:caps w:val="0"/>
        <w:smallCaps w:val="0"/>
        <w:sz w:val="20"/>
        <w:szCs w:val="20"/>
      </w:rPr>
    </w:lvl>
    <w:lvl w:ilvl="4">
      <w:start w:val="1"/>
      <w:numFmt w:val="decimal"/>
      <w:lvlText w:val="%2.%3.%4.%5"/>
      <w:lvlJc w:val="left"/>
      <w:pPr>
        <w:tabs>
          <w:tab w:val="num" w:pos="1008"/>
        </w:tabs>
        <w:ind w:left="1008" w:hanging="1008"/>
      </w:pPr>
      <w:rPr>
        <w:rFonts w:ascii="Symbol" w:hAnsi="Symbol" w:cs="OpenSymbol"/>
        <w:caps w:val="0"/>
        <w:smallCaps w:val="0"/>
        <w:sz w:val="20"/>
        <w:szCs w:val="20"/>
      </w:rPr>
    </w:lvl>
    <w:lvl w:ilvl="5">
      <w:start w:val="1"/>
      <w:numFmt w:val="decimal"/>
      <w:lvlText w:val="%1.%2.%3.%4.%5.%6"/>
      <w:lvlJc w:val="left"/>
      <w:pPr>
        <w:tabs>
          <w:tab w:val="num" w:pos="1152"/>
        </w:tabs>
        <w:ind w:left="1152" w:hanging="1152"/>
      </w:pPr>
      <w:rPr>
        <w:rFonts w:ascii="Symbol" w:hAnsi="Symbol" w:cs="OpenSymbol"/>
        <w:caps w:val="0"/>
        <w:smallCaps w:val="0"/>
        <w:sz w:val="20"/>
        <w:szCs w:val="20"/>
      </w:rPr>
    </w:lvl>
    <w:lvl w:ilvl="6">
      <w:start w:val="1"/>
      <w:numFmt w:val="decimal"/>
      <w:lvlText w:val="%1.%2.%3.%4.%5.%6.%7"/>
      <w:lvlJc w:val="left"/>
      <w:pPr>
        <w:tabs>
          <w:tab w:val="num" w:pos="1296"/>
        </w:tabs>
        <w:ind w:left="1296" w:hanging="1296"/>
      </w:pPr>
      <w:rPr>
        <w:rFonts w:ascii="Symbol" w:hAnsi="Symbol" w:cs="OpenSymbol"/>
        <w:caps w:val="0"/>
        <w:smallCaps w:val="0"/>
        <w:sz w:val="20"/>
        <w:szCs w:val="20"/>
      </w:rPr>
    </w:lvl>
    <w:lvl w:ilvl="7">
      <w:start w:val="1"/>
      <w:numFmt w:val="decimal"/>
      <w:lvlText w:val="%1.%2.%3.%4.%5.%6.%7.%8"/>
      <w:lvlJc w:val="left"/>
      <w:pPr>
        <w:tabs>
          <w:tab w:val="num" w:pos="1440"/>
        </w:tabs>
        <w:ind w:left="1440" w:hanging="1440"/>
      </w:pPr>
      <w:rPr>
        <w:rFonts w:ascii="Symbol" w:hAnsi="Symbol" w:cs="OpenSymbol"/>
        <w:caps w:val="0"/>
        <w:smallCaps w:val="0"/>
        <w:sz w:val="20"/>
        <w:szCs w:val="20"/>
      </w:rPr>
    </w:lvl>
    <w:lvl w:ilvl="8">
      <w:start w:val="1"/>
      <w:numFmt w:val="decimal"/>
      <w:lvlText w:val="%1.%2.%3.%4.%5.%6.%7.%8.%9"/>
      <w:lvlJc w:val="left"/>
      <w:pPr>
        <w:tabs>
          <w:tab w:val="num" w:pos="1584"/>
        </w:tabs>
        <w:ind w:left="1584" w:hanging="1584"/>
      </w:pPr>
      <w:rPr>
        <w:rFonts w:ascii="Symbol" w:hAnsi="Symbol" w:cs="OpenSymbol"/>
        <w:caps w:val="0"/>
        <w:smallCaps w:val="0"/>
        <w:sz w:val="20"/>
        <w:szCs w:val="20"/>
      </w:rPr>
    </w:lvl>
  </w:abstractNum>
  <w:abstractNum w:abstractNumId="10" w15:restartNumberingAfterBreak="0">
    <w:nsid w:val="0000000B"/>
    <w:multiLevelType w:val="singleLevel"/>
    <w:tmpl w:val="0000000B"/>
    <w:name w:val="WW8Num11"/>
    <w:lvl w:ilvl="0">
      <w:numFmt w:val="bullet"/>
      <w:lvlText w:val=""/>
      <w:lvlJc w:val="left"/>
      <w:pPr>
        <w:tabs>
          <w:tab w:val="num" w:pos="0"/>
        </w:tabs>
        <w:ind w:left="720" w:hanging="360"/>
      </w:pPr>
      <w:rPr>
        <w:rFonts w:ascii="Symbol" w:hAnsi="Symbol" w:cs="Symbol" w:hint="default"/>
        <w:sz w:val="20"/>
        <w:szCs w:val="32"/>
      </w:rPr>
    </w:lvl>
  </w:abstractNum>
  <w:abstractNum w:abstractNumId="11" w15:restartNumberingAfterBreak="0">
    <w:nsid w:val="0000000C"/>
    <w:multiLevelType w:val="singleLevel"/>
    <w:tmpl w:val="0000000C"/>
    <w:name w:val="WW8Num12"/>
    <w:lvl w:ilvl="0">
      <w:numFmt w:val="bullet"/>
      <w:lvlText w:val=""/>
      <w:lvlJc w:val="left"/>
      <w:pPr>
        <w:tabs>
          <w:tab w:val="num" w:pos="0"/>
        </w:tabs>
        <w:ind w:left="720" w:hanging="360"/>
      </w:pPr>
      <w:rPr>
        <w:rFonts w:ascii="Symbol" w:hAnsi="Symbol" w:cs="Symbol" w:hint="default"/>
        <w:sz w:val="20"/>
        <w:szCs w:val="32"/>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0" w:firstLine="0"/>
      </w:pPr>
      <w:rPr>
        <w:rFonts w:cs="Tahoma"/>
        <w:caps w:val="0"/>
        <w:smallCaps w:val="0"/>
        <w:color w:val="000000"/>
        <w:szCs w:val="20"/>
      </w:rPr>
    </w:lvl>
  </w:abstractNum>
  <w:abstractNum w:abstractNumId="13" w15:restartNumberingAfterBreak="0">
    <w:nsid w:val="0000000E"/>
    <w:multiLevelType w:val="multilevel"/>
    <w:tmpl w:val="0000000E"/>
    <w:name w:val="WW8Num14"/>
    <w:lvl w:ilvl="0">
      <w:numFmt w:val="bullet"/>
      <w:lvlText w:val=""/>
      <w:lvlJc w:val="left"/>
      <w:pPr>
        <w:tabs>
          <w:tab w:val="num" w:pos="0"/>
        </w:tabs>
        <w:ind w:left="0" w:firstLine="0"/>
      </w:pPr>
      <w:rPr>
        <w:rFonts w:ascii="Symbol" w:hAnsi="Symbol" w:cs="Symbol" w:hint="default"/>
        <w:caps w:val="0"/>
        <w:smallCaps w:val="0"/>
        <w:color w:val="000000"/>
        <w:sz w:val="20"/>
        <w:szCs w:val="20"/>
        <w:lang w:val="it-IT"/>
      </w:rPr>
    </w:lvl>
    <w:lvl w:ilvl="1">
      <w:start w:val="1"/>
      <w:numFmt w:val="decimal"/>
      <w:lvlText w:val="%2)"/>
      <w:lvlJc w:val="left"/>
      <w:pPr>
        <w:tabs>
          <w:tab w:val="num" w:pos="0"/>
        </w:tabs>
        <w:ind w:left="1080" w:hanging="360"/>
      </w:pPr>
      <w:rPr>
        <w:rFonts w:ascii="OpenSymbol" w:hAnsi="OpenSymbol" w:cs="OpenSymbo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20" w:hanging="360"/>
      </w:pPr>
      <w:rPr>
        <w:rFonts w:ascii="Tahoma" w:hAnsi="Tahoma" w:cs="OpenSymbol" w:hint="default"/>
        <w:sz w:val="20"/>
        <w:szCs w:val="20"/>
        <w:lang w:val="it-IT"/>
      </w:rPr>
    </w:lvl>
  </w:abstractNum>
  <w:abstractNum w:abstractNumId="15" w15:restartNumberingAfterBreak="0">
    <w:nsid w:val="00000010"/>
    <w:multiLevelType w:val="multilevel"/>
    <w:tmpl w:val="00000010"/>
    <w:name w:val="WW8Num16"/>
    <w:lvl w:ilvl="0">
      <w:numFmt w:val="bullet"/>
      <w:lvlText w:val=""/>
      <w:lvlJc w:val="left"/>
      <w:pPr>
        <w:tabs>
          <w:tab w:val="num" w:pos="720"/>
        </w:tabs>
        <w:ind w:left="720" w:hanging="360"/>
      </w:pPr>
      <w:rPr>
        <w:rFonts w:ascii="Symbol" w:hAnsi="Symbol" w:cs="Symbol" w:hint="default"/>
        <w:caps w:val="0"/>
        <w:smallCaps w:val="0"/>
        <w:sz w:val="20"/>
        <w:szCs w:val="20"/>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singleLevel"/>
    <w:tmpl w:val="00000011"/>
    <w:name w:val="WW8Num17"/>
    <w:lvl w:ilvl="0">
      <w:numFmt w:val="bullet"/>
      <w:lvlText w:val=""/>
      <w:lvlJc w:val="left"/>
      <w:pPr>
        <w:tabs>
          <w:tab w:val="num" w:pos="0"/>
        </w:tabs>
        <w:ind w:left="720" w:hanging="360"/>
      </w:pPr>
      <w:rPr>
        <w:rFonts w:ascii="Symbol" w:hAnsi="Symbol" w:cs="Symbol" w:hint="default"/>
        <w:sz w:val="20"/>
        <w:szCs w:val="32"/>
      </w:rPr>
    </w:lvl>
  </w:abstractNum>
  <w:abstractNum w:abstractNumId="17" w15:restartNumberingAfterBreak="0">
    <w:nsid w:val="00000012"/>
    <w:multiLevelType w:val="singleLevel"/>
    <w:tmpl w:val="00000012"/>
    <w:name w:val="WW8Num18"/>
    <w:lvl w:ilvl="0">
      <w:numFmt w:val="bullet"/>
      <w:lvlText w:val=""/>
      <w:lvlJc w:val="left"/>
      <w:pPr>
        <w:tabs>
          <w:tab w:val="num" w:pos="0"/>
        </w:tabs>
        <w:ind w:left="720" w:hanging="360"/>
      </w:pPr>
      <w:rPr>
        <w:rFonts w:ascii="Symbol" w:hAnsi="Symbol" w:cs="Symbol" w:hint="default"/>
        <w:sz w:val="20"/>
        <w:szCs w:val="20"/>
        <w:lang w:val="it-IT"/>
      </w:rPr>
    </w:lvl>
  </w:abstractNum>
  <w:abstractNum w:abstractNumId="18" w15:restartNumberingAfterBreak="0">
    <w:nsid w:val="00000013"/>
    <w:multiLevelType w:val="multilevel"/>
    <w:tmpl w:val="00000013"/>
    <w:name w:val="WW8Num19"/>
    <w:lvl w:ilvl="0">
      <w:numFmt w:val="bullet"/>
      <w:lvlText w:val=""/>
      <w:lvlJc w:val="left"/>
      <w:pPr>
        <w:tabs>
          <w:tab w:val="num" w:pos="0"/>
        </w:tabs>
        <w:ind w:left="0" w:firstLine="0"/>
      </w:pPr>
      <w:rPr>
        <w:rFonts w:ascii="Symbol" w:hAnsi="Symbol" w:cs="Symbol" w:hint="default"/>
        <w:color w:val="000000"/>
        <w:sz w:val="20"/>
        <w:szCs w:val="32"/>
        <w:lang w:val="it-IT" w:eastAsia="ar-SA"/>
      </w:rPr>
    </w:lvl>
    <w:lvl w:ilvl="1">
      <w:start w:val="1"/>
      <w:numFmt w:val="bullet"/>
      <w:lvlText w:val="◦"/>
      <w:lvlJc w:val="left"/>
      <w:pPr>
        <w:tabs>
          <w:tab w:val="num" w:pos="1080"/>
        </w:tabs>
        <w:ind w:left="1080" w:hanging="360"/>
      </w:pPr>
      <w:rPr>
        <w:rFonts w:ascii="OpenSymbol" w:hAnsi="OpenSymbol" w:cs="Courier New" w:hint="default"/>
        <w:sz w:val="20"/>
        <w:szCs w:val="20"/>
      </w:rPr>
    </w:lvl>
    <w:lvl w:ilvl="2">
      <w:start w:val="1"/>
      <w:numFmt w:val="bullet"/>
      <w:lvlText w:val="▪"/>
      <w:lvlJc w:val="left"/>
      <w:pPr>
        <w:tabs>
          <w:tab w:val="num" w:pos="1440"/>
        </w:tabs>
        <w:ind w:left="1440" w:hanging="360"/>
      </w:pPr>
      <w:rPr>
        <w:rFonts w:ascii="OpenSymbol" w:hAnsi="OpenSymbol" w:cs="Courier New" w:hint="default"/>
        <w:sz w:val="20"/>
        <w:szCs w:val="2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sz w:val="20"/>
        <w:szCs w:val="20"/>
      </w:rPr>
    </w:lvl>
    <w:lvl w:ilvl="5">
      <w:start w:val="1"/>
      <w:numFmt w:val="bullet"/>
      <w:lvlText w:val="▪"/>
      <w:lvlJc w:val="left"/>
      <w:pPr>
        <w:tabs>
          <w:tab w:val="num" w:pos="2520"/>
        </w:tabs>
        <w:ind w:left="2520" w:hanging="360"/>
      </w:pPr>
      <w:rPr>
        <w:rFonts w:ascii="OpenSymbol" w:hAnsi="OpenSymbol" w:cs="Courier New" w:hint="default"/>
        <w:sz w:val="20"/>
        <w:szCs w:val="20"/>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sz w:val="20"/>
        <w:szCs w:val="20"/>
      </w:rPr>
    </w:lvl>
    <w:lvl w:ilvl="8">
      <w:start w:val="1"/>
      <w:numFmt w:val="bullet"/>
      <w:lvlText w:val="▪"/>
      <w:lvlJc w:val="left"/>
      <w:pPr>
        <w:tabs>
          <w:tab w:val="num" w:pos="3600"/>
        </w:tabs>
        <w:ind w:left="3600" w:hanging="360"/>
      </w:pPr>
      <w:rPr>
        <w:rFonts w:ascii="OpenSymbol" w:hAnsi="OpenSymbol" w:cs="Courier New" w:hint="default"/>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0"/>
        </w:tabs>
        <w:ind w:left="720" w:hanging="360"/>
      </w:pPr>
      <w:rPr>
        <w:rFonts w:ascii="Tahoma" w:eastAsia="Courier New" w:hAnsi="Tahoma" w:cs="Symbol" w:hint="default"/>
        <w:sz w:val="20"/>
        <w:szCs w:val="20"/>
        <w:lang w:val="it-IT" w:eastAsia="ar-SA"/>
      </w:rPr>
    </w:lvl>
    <w:lvl w:ilvl="1">
      <w:start w:val="1"/>
      <w:numFmt w:val="lowerLetter"/>
      <w:lvlText w:val="%2)"/>
      <w:lvlJc w:val="left"/>
      <w:pPr>
        <w:tabs>
          <w:tab w:val="num" w:pos="0"/>
        </w:tabs>
        <w:ind w:left="1440" w:hanging="360"/>
      </w:pPr>
      <w:rPr>
        <w:rFonts w:ascii="Tahoma" w:eastAsia="CenturyGothic" w:hAnsi="Tahoma" w:cs="Tahoma" w:hint="default"/>
        <w:sz w:val="20"/>
        <w:szCs w:val="20"/>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0000015"/>
    <w:multiLevelType w:val="singleLevel"/>
    <w:tmpl w:val="00000015"/>
    <w:name w:val="WW8Num21"/>
    <w:lvl w:ilvl="0">
      <w:numFmt w:val="bullet"/>
      <w:lvlText w:val=""/>
      <w:lvlJc w:val="left"/>
      <w:pPr>
        <w:tabs>
          <w:tab w:val="num" w:pos="0"/>
        </w:tabs>
        <w:ind w:left="720" w:hanging="360"/>
      </w:pPr>
      <w:rPr>
        <w:rFonts w:ascii="Symbol" w:hAnsi="Symbol" w:cs="Symbol" w:hint="default"/>
        <w:sz w:val="20"/>
        <w:szCs w:val="18"/>
        <w:lang w:val="it-IT"/>
      </w:rPr>
    </w:lvl>
  </w:abstractNum>
  <w:abstractNum w:abstractNumId="21" w15:restartNumberingAfterBreak="0">
    <w:nsid w:val="00000016"/>
    <w:multiLevelType w:val="multilevel"/>
    <w:tmpl w:val="00000016"/>
    <w:name w:val="WW8Num22"/>
    <w:lvl w:ilvl="0">
      <w:numFmt w:val="bullet"/>
      <w:lvlText w:val=""/>
      <w:lvlJc w:val="left"/>
      <w:pPr>
        <w:tabs>
          <w:tab w:val="num" w:pos="0"/>
        </w:tabs>
        <w:ind w:left="0" w:firstLine="0"/>
      </w:pPr>
      <w:rPr>
        <w:rFonts w:ascii="Symbol" w:hAnsi="Symbol" w:cs="Symbol" w:hint="default"/>
        <w:color w:val="000000"/>
        <w:sz w:val="20"/>
        <w:szCs w:val="20"/>
        <w:lang w:val="it-IT"/>
      </w:rPr>
    </w:lvl>
    <w:lvl w:ilvl="1">
      <w:start w:val="1"/>
      <w:numFmt w:val="bullet"/>
      <w:lvlText w:val=""/>
      <w:lvlJc w:val="left"/>
      <w:pPr>
        <w:tabs>
          <w:tab w:val="num" w:pos="1080"/>
        </w:tabs>
        <w:ind w:left="1080" w:hanging="360"/>
      </w:pPr>
      <w:rPr>
        <w:rFonts w:ascii="Symbol" w:hAnsi="Symbol" w:cs="Courier New" w:hint="default"/>
        <w:szCs w:val="20"/>
      </w:rPr>
    </w:lvl>
    <w:lvl w:ilvl="2">
      <w:start w:val="1"/>
      <w:numFmt w:val="bullet"/>
      <w:lvlText w:val=""/>
      <w:lvlJc w:val="left"/>
      <w:pPr>
        <w:tabs>
          <w:tab w:val="num" w:pos="1440"/>
        </w:tabs>
        <w:ind w:left="1440" w:hanging="360"/>
      </w:pPr>
      <w:rPr>
        <w:rFonts w:ascii="Symbol" w:hAnsi="Symbol" w:cs="Courier New" w:hint="default"/>
        <w:szCs w:val="20"/>
      </w:rPr>
    </w:lvl>
    <w:lvl w:ilvl="3">
      <w:start w:val="1"/>
      <w:numFmt w:val="bullet"/>
      <w:lvlText w:val=""/>
      <w:lvlJc w:val="left"/>
      <w:pPr>
        <w:tabs>
          <w:tab w:val="num" w:pos="1800"/>
        </w:tabs>
        <w:ind w:left="1800" w:hanging="360"/>
      </w:pPr>
      <w:rPr>
        <w:rFonts w:ascii="Symbol" w:hAnsi="Symbol" w:cs="Courier New" w:hint="default"/>
        <w:szCs w:val="20"/>
      </w:rPr>
    </w:lvl>
    <w:lvl w:ilvl="4">
      <w:start w:val="1"/>
      <w:numFmt w:val="bullet"/>
      <w:lvlText w:val=""/>
      <w:lvlJc w:val="left"/>
      <w:pPr>
        <w:tabs>
          <w:tab w:val="num" w:pos="2160"/>
        </w:tabs>
        <w:ind w:left="2160" w:hanging="360"/>
      </w:pPr>
      <w:rPr>
        <w:rFonts w:ascii="Symbol" w:hAnsi="Symbol" w:cs="Courier New" w:hint="default"/>
        <w:szCs w:val="20"/>
      </w:rPr>
    </w:lvl>
    <w:lvl w:ilvl="5">
      <w:start w:val="1"/>
      <w:numFmt w:val="bullet"/>
      <w:lvlText w:val=""/>
      <w:lvlJc w:val="left"/>
      <w:pPr>
        <w:tabs>
          <w:tab w:val="num" w:pos="2520"/>
        </w:tabs>
        <w:ind w:left="2520" w:hanging="360"/>
      </w:pPr>
      <w:rPr>
        <w:rFonts w:ascii="Symbol" w:hAnsi="Symbol" w:cs="Courier New" w:hint="default"/>
        <w:szCs w:val="20"/>
      </w:rPr>
    </w:lvl>
    <w:lvl w:ilvl="6">
      <w:start w:val="1"/>
      <w:numFmt w:val="bullet"/>
      <w:lvlText w:val=""/>
      <w:lvlJc w:val="left"/>
      <w:pPr>
        <w:tabs>
          <w:tab w:val="num" w:pos="2880"/>
        </w:tabs>
        <w:ind w:left="2880" w:hanging="360"/>
      </w:pPr>
      <w:rPr>
        <w:rFonts w:ascii="Symbol" w:hAnsi="Symbol" w:cs="Courier New" w:hint="default"/>
        <w:szCs w:val="20"/>
      </w:rPr>
    </w:lvl>
    <w:lvl w:ilvl="7">
      <w:start w:val="1"/>
      <w:numFmt w:val="bullet"/>
      <w:lvlText w:val=""/>
      <w:lvlJc w:val="left"/>
      <w:pPr>
        <w:tabs>
          <w:tab w:val="num" w:pos="3240"/>
        </w:tabs>
        <w:ind w:left="3240" w:hanging="360"/>
      </w:pPr>
      <w:rPr>
        <w:rFonts w:ascii="Symbol" w:hAnsi="Symbol" w:cs="Courier New" w:hint="default"/>
        <w:szCs w:val="20"/>
      </w:rPr>
    </w:lvl>
    <w:lvl w:ilvl="8">
      <w:start w:val="1"/>
      <w:numFmt w:val="bullet"/>
      <w:lvlText w:val=""/>
      <w:lvlJc w:val="left"/>
      <w:pPr>
        <w:tabs>
          <w:tab w:val="num" w:pos="3600"/>
        </w:tabs>
        <w:ind w:left="3600" w:hanging="360"/>
      </w:pPr>
      <w:rPr>
        <w:rFonts w:ascii="Symbol" w:hAnsi="Symbol" w:cs="Courier New" w:hint="default"/>
        <w:szCs w:val="20"/>
      </w:rPr>
    </w:lvl>
  </w:abstractNum>
  <w:abstractNum w:abstractNumId="22"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hint="default"/>
        <w:color w:val="C5000B"/>
        <w:sz w:val="44"/>
        <w:szCs w:val="44"/>
      </w:rPr>
    </w:lvl>
    <w:lvl w:ilvl="1">
      <w:start w:val="1"/>
      <w:numFmt w:val="lowerLetter"/>
      <w:lvlText w:val="%2)"/>
      <w:lvlJc w:val="left"/>
      <w:pPr>
        <w:tabs>
          <w:tab w:val="num" w:pos="0"/>
        </w:tabs>
        <w:ind w:left="1440" w:hanging="360"/>
      </w:pPr>
      <w:rPr>
        <w:rFonts w:ascii="Tahoma" w:hAnsi="Tahoma" w:cs="Tahoma" w:hint="default"/>
        <w:sz w:val="20"/>
        <w:szCs w:val="20"/>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rPr>
        <w:rFonts w:ascii="Courier New" w:hAnsi="Courier New" w:cs="Courier New" w:hint="default"/>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8"/>
    <w:multiLevelType w:val="multilevel"/>
    <w:tmpl w:val="00000018"/>
    <w:name w:val="WW8Num24"/>
    <w:lvl w:ilvl="0">
      <w:start w:val="1"/>
      <w:numFmt w:val="bullet"/>
      <w:lvlText w:val=""/>
      <w:lvlJc w:val="left"/>
      <w:pPr>
        <w:tabs>
          <w:tab w:val="num" w:pos="0"/>
        </w:tabs>
        <w:ind w:left="720" w:hanging="360"/>
      </w:pPr>
      <w:rPr>
        <w:rFonts w:ascii="Symbol" w:hAnsi="Symbol" w:cs="Tahoma"/>
        <w:sz w:val="20"/>
        <w:szCs w:val="20"/>
      </w:rPr>
    </w:lvl>
    <w:lvl w:ilvl="1">
      <w:start w:val="1"/>
      <w:numFmt w:val="lowerLetter"/>
      <w:lvlText w:val="%2)"/>
      <w:lvlJc w:val="left"/>
      <w:pPr>
        <w:tabs>
          <w:tab w:val="num" w:pos="0"/>
        </w:tabs>
        <w:ind w:left="1440" w:hanging="360"/>
      </w:pPr>
      <w:rPr>
        <w:rFonts w:ascii="Tahoma" w:eastAsia="CenturyGothic" w:hAnsi="Tahoma" w:cs="Tahoma"/>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19"/>
    <w:multiLevelType w:val="multilevel"/>
    <w:tmpl w:val="00000019"/>
    <w:name w:val="WW8Num25"/>
    <w:lvl w:ilvl="0">
      <w:numFmt w:val="bullet"/>
      <w:lvlText w:val=""/>
      <w:lvlJc w:val="left"/>
      <w:pPr>
        <w:tabs>
          <w:tab w:val="num" w:pos="0"/>
        </w:tabs>
        <w:ind w:left="720" w:hanging="360"/>
      </w:pPr>
      <w:rPr>
        <w:rFonts w:ascii="Symbol" w:hAnsi="Symbol" w:cs="Symbol" w:hint="default"/>
        <w:sz w:val="20"/>
        <w:szCs w:val="3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Times New Roman" w:hint="default"/>
        <w:b/>
        <w:i/>
        <w:caps w:val="0"/>
        <w:smallCaps w:val="0"/>
        <w:strike w:val="0"/>
        <w:dstrike w:val="0"/>
        <w:vanish w:val="0"/>
        <w:position w:val="0"/>
        <w:sz w:val="24"/>
        <w:vertAlign w:val="baseline"/>
      </w:rPr>
    </w:lvl>
    <w:lvl w:ilvl="3">
      <w:numFmt w:val="bullet"/>
      <w:lvlText w:val=""/>
      <w:lvlJc w:val="left"/>
      <w:pPr>
        <w:tabs>
          <w:tab w:val="num" w:pos="0"/>
        </w:tabs>
        <w:ind w:left="2880" w:hanging="360"/>
      </w:pPr>
      <w:rPr>
        <w:rFonts w:ascii="Symbol" w:hAnsi="Symbol" w:cs="Symbol" w:hint="default"/>
        <w:sz w:val="20"/>
        <w:szCs w:val="3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Times New Roman" w:hint="default"/>
        <w:b/>
        <w:i/>
        <w:caps w:val="0"/>
        <w:smallCaps w:val="0"/>
        <w:strike w:val="0"/>
        <w:dstrike w:val="0"/>
        <w:vanish w:val="0"/>
        <w:position w:val="0"/>
        <w:sz w:val="24"/>
        <w:vertAlign w:val="baseline"/>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Times New Roman" w:hint="default"/>
        <w:b/>
        <w:i/>
        <w:caps w:val="0"/>
        <w:smallCaps w:val="0"/>
        <w:strike w:val="0"/>
        <w:dstrike w:val="0"/>
        <w:vanish w:val="0"/>
        <w:position w:val="0"/>
        <w:sz w:val="24"/>
        <w:vertAlign w:val="baseline"/>
      </w:rPr>
    </w:lvl>
  </w:abstractNum>
  <w:abstractNum w:abstractNumId="25" w15:restartNumberingAfterBreak="0">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hint="default"/>
        <w:sz w:val="20"/>
        <w:szCs w:val="20"/>
      </w:rPr>
    </w:lvl>
    <w:lvl w:ilvl="1">
      <w:start w:val="1"/>
      <w:numFmt w:val="lowerLetter"/>
      <w:lvlText w:val="%2)"/>
      <w:lvlJc w:val="left"/>
      <w:pPr>
        <w:tabs>
          <w:tab w:val="num" w:pos="0"/>
        </w:tabs>
        <w:ind w:left="1440" w:hanging="360"/>
      </w:pPr>
      <w:rPr>
        <w:rFonts w:ascii="Tahoma" w:eastAsia="CenturyGothic" w:hAnsi="Tahoma" w:cs="Tahoma" w:hint="default"/>
        <w:sz w:val="20"/>
        <w:szCs w:val="20"/>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singleLevel"/>
    <w:tmpl w:val="0000001B"/>
    <w:name w:val="WW8Num27"/>
    <w:lvl w:ilvl="0">
      <w:numFmt w:val="bullet"/>
      <w:lvlText w:val=""/>
      <w:lvlJc w:val="left"/>
      <w:pPr>
        <w:tabs>
          <w:tab w:val="num" w:pos="0"/>
        </w:tabs>
        <w:ind w:left="720" w:hanging="360"/>
      </w:pPr>
      <w:rPr>
        <w:rFonts w:ascii="Symbol" w:hAnsi="Symbol" w:cs="Symbol" w:hint="default"/>
        <w:sz w:val="20"/>
        <w:szCs w:val="32"/>
      </w:rPr>
    </w:lvl>
  </w:abstractNum>
  <w:abstractNum w:abstractNumId="27" w15:restartNumberingAfterBreak="0">
    <w:nsid w:val="0000001C"/>
    <w:multiLevelType w:val="multilevel"/>
    <w:tmpl w:val="0000001C"/>
    <w:name w:val="WW8Num28"/>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Courier New" w:hint="default"/>
        <w:sz w:val="20"/>
        <w:szCs w:val="20"/>
      </w:rPr>
    </w:lvl>
    <w:lvl w:ilvl="2">
      <w:start w:val="1"/>
      <w:numFmt w:val="bullet"/>
      <w:lvlText w:val="▪"/>
      <w:lvlJc w:val="left"/>
      <w:pPr>
        <w:tabs>
          <w:tab w:val="num" w:pos="1440"/>
        </w:tabs>
        <w:ind w:left="1440" w:hanging="360"/>
      </w:pPr>
      <w:rPr>
        <w:rFonts w:ascii="OpenSymbol" w:hAnsi="OpenSymbol" w:cs="Courier New" w:hint="default"/>
        <w:sz w:val="20"/>
        <w:szCs w:val="2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sz w:val="20"/>
        <w:szCs w:val="20"/>
      </w:rPr>
    </w:lvl>
    <w:lvl w:ilvl="5">
      <w:start w:val="1"/>
      <w:numFmt w:val="bullet"/>
      <w:lvlText w:val="▪"/>
      <w:lvlJc w:val="left"/>
      <w:pPr>
        <w:tabs>
          <w:tab w:val="num" w:pos="2520"/>
        </w:tabs>
        <w:ind w:left="2520" w:hanging="360"/>
      </w:pPr>
      <w:rPr>
        <w:rFonts w:ascii="OpenSymbol" w:hAnsi="OpenSymbol" w:cs="Courier New" w:hint="default"/>
        <w:sz w:val="20"/>
        <w:szCs w:val="20"/>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sz w:val="20"/>
        <w:szCs w:val="20"/>
      </w:rPr>
    </w:lvl>
    <w:lvl w:ilvl="8">
      <w:start w:val="1"/>
      <w:numFmt w:val="bullet"/>
      <w:lvlText w:val="▪"/>
      <w:lvlJc w:val="left"/>
      <w:pPr>
        <w:tabs>
          <w:tab w:val="num" w:pos="3600"/>
        </w:tabs>
        <w:ind w:left="3600" w:hanging="360"/>
      </w:pPr>
      <w:rPr>
        <w:rFonts w:ascii="OpenSymbol" w:hAnsi="OpenSymbol" w:cs="Courier New" w:hint="default"/>
        <w:sz w:val="20"/>
        <w:szCs w:val="20"/>
      </w:rPr>
    </w:lvl>
  </w:abstractNum>
  <w:abstractNum w:abstractNumId="28" w15:restartNumberingAfterBreak="0">
    <w:nsid w:val="0000001D"/>
    <w:multiLevelType w:val="multilevel"/>
    <w:tmpl w:val="0000001D"/>
    <w:name w:val="WW8Num29"/>
    <w:lvl w:ilvl="0">
      <w:numFmt w:val="bullet"/>
      <w:lvlText w:val=""/>
      <w:lvlJc w:val="left"/>
      <w:pPr>
        <w:tabs>
          <w:tab w:val="num" w:pos="782"/>
        </w:tabs>
        <w:ind w:left="782" w:hanging="360"/>
      </w:pPr>
      <w:rPr>
        <w:rFonts w:ascii="Symbol" w:hAnsi="Symbol" w:cs="Symbol" w:hint="default"/>
        <w:w w:val="106"/>
        <w:sz w:val="20"/>
        <w:szCs w:val="20"/>
        <w:shd w:val="clear" w:color="auto" w:fill="FFFFFF"/>
        <w:lang w:val="it-IT" w:bidi="it-IT"/>
      </w:rPr>
    </w:lvl>
    <w:lvl w:ilvl="1">
      <w:start w:val="1"/>
      <w:numFmt w:val="bullet"/>
      <w:lvlText w:val="◦"/>
      <w:lvlJc w:val="left"/>
      <w:pPr>
        <w:tabs>
          <w:tab w:val="num" w:pos="1142"/>
        </w:tabs>
        <w:ind w:left="1142" w:hanging="360"/>
      </w:pPr>
      <w:rPr>
        <w:rFonts w:ascii="OpenSymbol" w:hAnsi="OpenSymbol" w:cs="Courier New" w:hint="default"/>
        <w:sz w:val="20"/>
        <w:szCs w:val="20"/>
      </w:rPr>
    </w:lvl>
    <w:lvl w:ilvl="2">
      <w:start w:val="1"/>
      <w:numFmt w:val="bullet"/>
      <w:lvlText w:val="▪"/>
      <w:lvlJc w:val="left"/>
      <w:pPr>
        <w:tabs>
          <w:tab w:val="num" w:pos="1502"/>
        </w:tabs>
        <w:ind w:left="1502" w:hanging="360"/>
      </w:pPr>
      <w:rPr>
        <w:rFonts w:ascii="OpenSymbol" w:hAnsi="OpenSymbol" w:cs="Courier New" w:hint="default"/>
        <w:sz w:val="20"/>
        <w:szCs w:val="20"/>
      </w:rPr>
    </w:lvl>
    <w:lvl w:ilvl="3">
      <w:start w:val="1"/>
      <w:numFmt w:val="bullet"/>
      <w:lvlText w:val=""/>
      <w:lvlJc w:val="left"/>
      <w:pPr>
        <w:tabs>
          <w:tab w:val="num" w:pos="1862"/>
        </w:tabs>
        <w:ind w:left="1862" w:hanging="360"/>
      </w:pPr>
      <w:rPr>
        <w:rFonts w:ascii="Symbol" w:hAnsi="Symbol" w:cs="Symbol" w:hint="default"/>
      </w:rPr>
    </w:lvl>
    <w:lvl w:ilvl="4">
      <w:start w:val="1"/>
      <w:numFmt w:val="bullet"/>
      <w:lvlText w:val="◦"/>
      <w:lvlJc w:val="left"/>
      <w:pPr>
        <w:tabs>
          <w:tab w:val="num" w:pos="2222"/>
        </w:tabs>
        <w:ind w:left="2222" w:hanging="360"/>
      </w:pPr>
      <w:rPr>
        <w:rFonts w:ascii="OpenSymbol" w:hAnsi="OpenSymbol" w:cs="Courier New" w:hint="default"/>
        <w:sz w:val="20"/>
        <w:szCs w:val="20"/>
      </w:rPr>
    </w:lvl>
    <w:lvl w:ilvl="5">
      <w:start w:val="1"/>
      <w:numFmt w:val="bullet"/>
      <w:lvlText w:val="▪"/>
      <w:lvlJc w:val="left"/>
      <w:pPr>
        <w:tabs>
          <w:tab w:val="num" w:pos="2582"/>
        </w:tabs>
        <w:ind w:left="2582" w:hanging="360"/>
      </w:pPr>
      <w:rPr>
        <w:rFonts w:ascii="OpenSymbol" w:hAnsi="OpenSymbol" w:cs="Courier New" w:hint="default"/>
        <w:sz w:val="20"/>
        <w:szCs w:val="20"/>
      </w:rPr>
    </w:lvl>
    <w:lvl w:ilvl="6">
      <w:start w:val="1"/>
      <w:numFmt w:val="bullet"/>
      <w:lvlText w:val=""/>
      <w:lvlJc w:val="left"/>
      <w:pPr>
        <w:tabs>
          <w:tab w:val="num" w:pos="2942"/>
        </w:tabs>
        <w:ind w:left="2942" w:hanging="360"/>
      </w:pPr>
      <w:rPr>
        <w:rFonts w:ascii="Symbol" w:hAnsi="Symbol" w:cs="Symbol" w:hint="default"/>
      </w:rPr>
    </w:lvl>
    <w:lvl w:ilvl="7">
      <w:start w:val="1"/>
      <w:numFmt w:val="bullet"/>
      <w:lvlText w:val="◦"/>
      <w:lvlJc w:val="left"/>
      <w:pPr>
        <w:tabs>
          <w:tab w:val="num" w:pos="3302"/>
        </w:tabs>
        <w:ind w:left="3302" w:hanging="360"/>
      </w:pPr>
      <w:rPr>
        <w:rFonts w:ascii="OpenSymbol" w:hAnsi="OpenSymbol" w:cs="Courier New" w:hint="default"/>
        <w:sz w:val="20"/>
        <w:szCs w:val="20"/>
      </w:rPr>
    </w:lvl>
    <w:lvl w:ilvl="8">
      <w:start w:val="1"/>
      <w:numFmt w:val="bullet"/>
      <w:lvlText w:val="▪"/>
      <w:lvlJc w:val="left"/>
      <w:pPr>
        <w:tabs>
          <w:tab w:val="num" w:pos="3662"/>
        </w:tabs>
        <w:ind w:left="3662" w:hanging="360"/>
      </w:pPr>
      <w:rPr>
        <w:rFonts w:ascii="OpenSymbol" w:hAnsi="OpenSymbol" w:cs="Courier New" w:hint="default"/>
        <w:sz w:val="20"/>
        <w:szCs w:val="20"/>
      </w:rPr>
    </w:lvl>
  </w:abstractNum>
  <w:abstractNum w:abstractNumId="29" w15:restartNumberingAfterBreak="0">
    <w:nsid w:val="0000001E"/>
    <w:multiLevelType w:val="multilevel"/>
    <w:tmpl w:val="0000001E"/>
    <w:name w:val="WW8Num30"/>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Courier New" w:hint="default"/>
        <w:sz w:val="20"/>
        <w:szCs w:val="20"/>
      </w:rPr>
    </w:lvl>
    <w:lvl w:ilvl="2">
      <w:start w:val="1"/>
      <w:numFmt w:val="bullet"/>
      <w:lvlText w:val="▪"/>
      <w:lvlJc w:val="left"/>
      <w:pPr>
        <w:tabs>
          <w:tab w:val="num" w:pos="1440"/>
        </w:tabs>
        <w:ind w:left="1440" w:hanging="360"/>
      </w:pPr>
      <w:rPr>
        <w:rFonts w:ascii="OpenSymbol" w:hAnsi="OpenSymbol" w:cs="Courier New" w:hint="default"/>
        <w:sz w:val="20"/>
        <w:szCs w:val="20"/>
      </w:rPr>
    </w:lvl>
    <w:lvl w:ilvl="3">
      <w:start w:val="1"/>
      <w:numFmt w:val="bullet"/>
      <w:lvlText w:val=""/>
      <w:lvlJc w:val="left"/>
      <w:pPr>
        <w:tabs>
          <w:tab w:val="num" w:pos="1800"/>
        </w:tabs>
        <w:ind w:left="1800" w:hanging="360"/>
      </w:pPr>
      <w:rPr>
        <w:rFonts w:ascii="Symbol" w:hAnsi="Symbol" w:cs="Symbol" w:hint="default"/>
        <w:sz w:val="20"/>
        <w:szCs w:val="20"/>
      </w:rPr>
    </w:lvl>
    <w:lvl w:ilvl="4">
      <w:start w:val="1"/>
      <w:numFmt w:val="bullet"/>
      <w:lvlText w:val="◦"/>
      <w:lvlJc w:val="left"/>
      <w:pPr>
        <w:tabs>
          <w:tab w:val="num" w:pos="2160"/>
        </w:tabs>
        <w:ind w:left="2160" w:hanging="360"/>
      </w:pPr>
      <w:rPr>
        <w:rFonts w:ascii="OpenSymbol" w:hAnsi="OpenSymbol" w:cs="Courier New" w:hint="default"/>
        <w:sz w:val="20"/>
        <w:szCs w:val="20"/>
      </w:rPr>
    </w:lvl>
    <w:lvl w:ilvl="5">
      <w:start w:val="1"/>
      <w:numFmt w:val="bullet"/>
      <w:lvlText w:val="▪"/>
      <w:lvlJc w:val="left"/>
      <w:pPr>
        <w:tabs>
          <w:tab w:val="num" w:pos="2520"/>
        </w:tabs>
        <w:ind w:left="2520" w:hanging="360"/>
      </w:pPr>
      <w:rPr>
        <w:rFonts w:ascii="OpenSymbol" w:hAnsi="OpenSymbol" w:cs="Courier New" w:hint="default"/>
        <w:sz w:val="20"/>
        <w:szCs w:val="20"/>
      </w:rPr>
    </w:lvl>
    <w:lvl w:ilvl="6">
      <w:start w:val="1"/>
      <w:numFmt w:val="bullet"/>
      <w:lvlText w:val=""/>
      <w:lvlJc w:val="left"/>
      <w:pPr>
        <w:tabs>
          <w:tab w:val="num" w:pos="2880"/>
        </w:tabs>
        <w:ind w:left="2880" w:hanging="360"/>
      </w:pPr>
      <w:rPr>
        <w:rFonts w:ascii="Symbol" w:hAnsi="Symbol" w:cs="Symbol" w:hint="default"/>
        <w:sz w:val="20"/>
        <w:szCs w:val="20"/>
      </w:rPr>
    </w:lvl>
    <w:lvl w:ilvl="7">
      <w:start w:val="1"/>
      <w:numFmt w:val="bullet"/>
      <w:lvlText w:val="◦"/>
      <w:lvlJc w:val="left"/>
      <w:pPr>
        <w:tabs>
          <w:tab w:val="num" w:pos="3240"/>
        </w:tabs>
        <w:ind w:left="3240" w:hanging="360"/>
      </w:pPr>
      <w:rPr>
        <w:rFonts w:ascii="OpenSymbol" w:hAnsi="OpenSymbol" w:cs="Courier New" w:hint="default"/>
        <w:sz w:val="20"/>
        <w:szCs w:val="20"/>
      </w:rPr>
    </w:lvl>
    <w:lvl w:ilvl="8">
      <w:start w:val="1"/>
      <w:numFmt w:val="bullet"/>
      <w:lvlText w:val="▪"/>
      <w:lvlJc w:val="left"/>
      <w:pPr>
        <w:tabs>
          <w:tab w:val="num" w:pos="3600"/>
        </w:tabs>
        <w:ind w:left="3600" w:hanging="360"/>
      </w:pPr>
      <w:rPr>
        <w:rFonts w:ascii="OpenSymbol" w:hAnsi="OpenSymbol" w:cs="Courier New" w:hint="default"/>
        <w:sz w:val="20"/>
        <w:szCs w:val="20"/>
      </w:r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Tahoma" w:hAnsi="Tahoma" w:cs="Tahoma" w:hint="default"/>
        <w:b w:val="0"/>
        <w:bCs/>
        <w:i w:val="0"/>
        <w:caps w:val="0"/>
        <w:smallCaps w:val="0"/>
        <w:strike w:val="0"/>
        <w:dstrike w:val="0"/>
        <w:color w:val="000000"/>
        <w:position w:val="0"/>
        <w:sz w:val="20"/>
        <w:szCs w:val="26"/>
        <w:u w:val="none" w:color="000000"/>
        <w:vertAlign w:val="baseline"/>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3"/>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2"/>
    <w:multiLevelType w:val="singleLevel"/>
    <w:tmpl w:val="00000022"/>
    <w:name w:val="WW8Num34"/>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34" w15:restartNumberingAfterBreak="0">
    <w:nsid w:val="00000023"/>
    <w:multiLevelType w:val="singleLevel"/>
    <w:tmpl w:val="00000023"/>
    <w:name w:val="WW8Num35"/>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35" w15:restartNumberingAfterBreak="0">
    <w:nsid w:val="00000024"/>
    <w:multiLevelType w:val="singleLevel"/>
    <w:tmpl w:val="00000024"/>
    <w:name w:val="WW8Num36"/>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36" w15:restartNumberingAfterBreak="0">
    <w:nsid w:val="00000025"/>
    <w:multiLevelType w:val="singleLevel"/>
    <w:tmpl w:val="00000025"/>
    <w:name w:val="WW8Num37"/>
    <w:lvl w:ilvl="0">
      <w:numFmt w:val="bullet"/>
      <w:lvlText w:val="•"/>
      <w:lvlJc w:val="left"/>
      <w:pPr>
        <w:tabs>
          <w:tab w:val="num" w:pos="0"/>
        </w:tabs>
        <w:ind w:left="390" w:hanging="284"/>
      </w:pPr>
      <w:rPr>
        <w:rFonts w:ascii="Bookman Old Style" w:hAnsi="Bookman Old Style" w:cs="OpenSymbol" w:hint="default"/>
        <w:w w:val="99"/>
        <w:sz w:val="20"/>
        <w:szCs w:val="20"/>
        <w:lang w:val="it-IT"/>
      </w:rPr>
    </w:lvl>
  </w:abstractNum>
  <w:abstractNum w:abstractNumId="37" w15:restartNumberingAfterBreak="0">
    <w:nsid w:val="00000026"/>
    <w:multiLevelType w:val="singleLevel"/>
    <w:tmpl w:val="00000026"/>
    <w:name w:val="WW8Num38"/>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38" w15:restartNumberingAfterBreak="0">
    <w:nsid w:val="00000027"/>
    <w:multiLevelType w:val="singleLevel"/>
    <w:tmpl w:val="00000027"/>
    <w:name w:val="WW8Num39"/>
    <w:lvl w:ilvl="0">
      <w:numFmt w:val="bullet"/>
      <w:lvlText w:val="-"/>
      <w:lvlJc w:val="left"/>
      <w:pPr>
        <w:tabs>
          <w:tab w:val="num" w:pos="0"/>
        </w:tabs>
        <w:ind w:left="535" w:hanging="286"/>
      </w:pPr>
      <w:rPr>
        <w:rFonts w:ascii="Bookman Old Style" w:hAnsi="Bookman Old Style" w:cs="Symbol" w:hint="default"/>
        <w:w w:val="99"/>
        <w:sz w:val="20"/>
        <w:szCs w:val="32"/>
        <w:lang w:val="it-IT"/>
      </w:rPr>
    </w:lvl>
  </w:abstractNum>
  <w:abstractNum w:abstractNumId="39" w15:restartNumberingAfterBreak="0">
    <w:nsid w:val="00000028"/>
    <w:multiLevelType w:val="multilevel"/>
    <w:tmpl w:val="00000028"/>
    <w:name w:val="WW8Num40"/>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9"/>
    <w:multiLevelType w:val="multilevel"/>
    <w:tmpl w:val="00000029"/>
    <w:name w:val="WW8Num41"/>
    <w:lvl w:ilvl="0">
      <w:numFmt w:val="bullet"/>
      <w:lvlText w:val="•"/>
      <w:lvlJc w:val="left"/>
      <w:pPr>
        <w:tabs>
          <w:tab w:val="num" w:pos="0"/>
        </w:tabs>
        <w:ind w:left="391" w:hanging="284"/>
      </w:pPr>
      <w:rPr>
        <w:rFonts w:ascii="Bookman Old Style" w:hAnsi="Bookman Old Style" w:cs="OpenSymbol" w:hint="default"/>
        <w:w w:val="99"/>
        <w:sz w:val="20"/>
        <w:szCs w:val="20"/>
        <w:lang w:val="it-IT"/>
      </w:rPr>
    </w:lvl>
    <w:lvl w:ilvl="1">
      <w:numFmt w:val="bullet"/>
      <w:lvlText w:val="-"/>
      <w:lvlJc w:val="left"/>
      <w:pPr>
        <w:tabs>
          <w:tab w:val="num" w:pos="0"/>
        </w:tabs>
        <w:ind w:left="535" w:hanging="286"/>
      </w:pPr>
      <w:rPr>
        <w:rFonts w:ascii="Bookman Old Style" w:hAnsi="Bookman Old Style" w:cs="Symbol" w:hint="default"/>
        <w:w w:val="99"/>
        <w:sz w:val="20"/>
        <w:szCs w:val="32"/>
        <w:lang w:val="it-IT"/>
      </w:rPr>
    </w:lvl>
    <w:lvl w:ilvl="2">
      <w:numFmt w:val="bullet"/>
      <w:lvlText w:val="•"/>
      <w:lvlJc w:val="left"/>
      <w:pPr>
        <w:tabs>
          <w:tab w:val="num" w:pos="0"/>
        </w:tabs>
        <w:ind w:left="992" w:hanging="286"/>
      </w:pPr>
      <w:rPr>
        <w:rFonts w:ascii="Liberation Serif" w:hAnsi="Liberation Serif" w:cs="Liberation Serif" w:hint="default"/>
      </w:rPr>
    </w:lvl>
    <w:lvl w:ilvl="3">
      <w:numFmt w:val="bullet"/>
      <w:lvlText w:val="•"/>
      <w:lvlJc w:val="left"/>
      <w:pPr>
        <w:tabs>
          <w:tab w:val="num" w:pos="0"/>
        </w:tabs>
        <w:ind w:left="1444" w:hanging="286"/>
      </w:pPr>
      <w:rPr>
        <w:rFonts w:ascii="Liberation Serif" w:hAnsi="Liberation Serif" w:cs="Liberation Serif" w:hint="default"/>
      </w:rPr>
    </w:lvl>
    <w:lvl w:ilvl="4">
      <w:numFmt w:val="bullet"/>
      <w:lvlText w:val="•"/>
      <w:lvlJc w:val="left"/>
      <w:pPr>
        <w:tabs>
          <w:tab w:val="num" w:pos="0"/>
        </w:tabs>
        <w:ind w:left="1896" w:hanging="286"/>
      </w:pPr>
      <w:rPr>
        <w:rFonts w:ascii="Liberation Serif" w:hAnsi="Liberation Serif" w:cs="Liberation Serif" w:hint="default"/>
      </w:rPr>
    </w:lvl>
    <w:lvl w:ilvl="5">
      <w:numFmt w:val="bullet"/>
      <w:lvlText w:val="•"/>
      <w:lvlJc w:val="left"/>
      <w:pPr>
        <w:tabs>
          <w:tab w:val="num" w:pos="0"/>
        </w:tabs>
        <w:ind w:left="2348" w:hanging="286"/>
      </w:pPr>
      <w:rPr>
        <w:rFonts w:ascii="Liberation Serif" w:hAnsi="Liberation Serif" w:cs="Liberation Serif" w:hint="default"/>
      </w:rPr>
    </w:lvl>
    <w:lvl w:ilvl="6">
      <w:numFmt w:val="bullet"/>
      <w:lvlText w:val="•"/>
      <w:lvlJc w:val="left"/>
      <w:pPr>
        <w:tabs>
          <w:tab w:val="num" w:pos="0"/>
        </w:tabs>
        <w:ind w:left="2801" w:hanging="286"/>
      </w:pPr>
      <w:rPr>
        <w:rFonts w:ascii="Liberation Serif" w:hAnsi="Liberation Serif" w:cs="Liberation Serif" w:hint="default"/>
      </w:rPr>
    </w:lvl>
    <w:lvl w:ilvl="7">
      <w:numFmt w:val="bullet"/>
      <w:lvlText w:val="•"/>
      <w:lvlJc w:val="left"/>
      <w:pPr>
        <w:tabs>
          <w:tab w:val="num" w:pos="0"/>
        </w:tabs>
        <w:ind w:left="3253" w:hanging="286"/>
      </w:pPr>
      <w:rPr>
        <w:rFonts w:ascii="Liberation Serif" w:hAnsi="Liberation Serif" w:cs="Liberation Serif" w:hint="default"/>
      </w:rPr>
    </w:lvl>
    <w:lvl w:ilvl="8">
      <w:numFmt w:val="bullet"/>
      <w:lvlText w:val="•"/>
      <w:lvlJc w:val="left"/>
      <w:pPr>
        <w:tabs>
          <w:tab w:val="num" w:pos="0"/>
        </w:tabs>
        <w:ind w:left="3705" w:hanging="286"/>
      </w:pPr>
      <w:rPr>
        <w:rFonts w:ascii="Liberation Serif" w:hAnsi="Liberation Serif" w:cs="Liberation Serif" w:hint="default"/>
      </w:rPr>
    </w:lvl>
  </w:abstractNum>
  <w:abstractNum w:abstractNumId="41" w15:restartNumberingAfterBreak="0">
    <w:nsid w:val="0000002A"/>
    <w:multiLevelType w:val="multilevel"/>
    <w:tmpl w:val="0000002A"/>
    <w:name w:val="WW8Num42"/>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singleLevel"/>
    <w:tmpl w:val="0000002B"/>
    <w:name w:val="WW8Num43"/>
    <w:lvl w:ilvl="0">
      <w:numFmt w:val="bullet"/>
      <w:lvlText w:val="•"/>
      <w:lvlJc w:val="left"/>
      <w:pPr>
        <w:tabs>
          <w:tab w:val="num" w:pos="0"/>
        </w:tabs>
        <w:ind w:left="391" w:hanging="284"/>
      </w:pPr>
      <w:rPr>
        <w:rFonts w:ascii="Bookman Old Style" w:hAnsi="Bookman Old Style" w:cs="OpenSymbol" w:hint="default"/>
        <w:w w:val="99"/>
        <w:sz w:val="20"/>
        <w:szCs w:val="20"/>
      </w:rPr>
    </w:lvl>
  </w:abstractNum>
  <w:abstractNum w:abstractNumId="43" w15:restartNumberingAfterBreak="0">
    <w:nsid w:val="0000002C"/>
    <w:multiLevelType w:val="multilevel"/>
    <w:tmpl w:val="0000002C"/>
    <w:name w:val="WW8Num44"/>
    <w:lvl w:ilvl="0">
      <w:start w:val="1"/>
      <w:numFmt w:val="decimal"/>
      <w:lvlText w:val="%1)"/>
      <w:lvlJc w:val="left"/>
      <w:pPr>
        <w:tabs>
          <w:tab w:val="num" w:pos="0"/>
        </w:tabs>
        <w:ind w:left="720" w:hanging="360"/>
      </w:pPr>
      <w:rPr>
        <w:rFonts w:ascii="Tahoma" w:eastAsia="Courier New" w:hAnsi="Tahoma" w:cs="Symbol" w:hint="default"/>
        <w:sz w:val="20"/>
        <w:szCs w:val="20"/>
        <w:lang w:val="it-IT"/>
      </w:rPr>
    </w:lvl>
    <w:lvl w:ilvl="1">
      <w:start w:val="1"/>
      <w:numFmt w:val="lowerLetter"/>
      <w:lvlText w:val="%2)"/>
      <w:lvlJc w:val="left"/>
      <w:pPr>
        <w:tabs>
          <w:tab w:val="num" w:pos="0"/>
        </w:tabs>
        <w:ind w:left="1440" w:hanging="360"/>
      </w:pPr>
      <w:rPr>
        <w:rFonts w:ascii="Tahoma" w:hAnsi="Tahoma" w:cs="Tahoma" w:hint="default"/>
        <w:sz w:val="20"/>
        <w:szCs w:val="20"/>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000002D"/>
    <w:multiLevelType w:val="singleLevel"/>
    <w:tmpl w:val="0000002D"/>
    <w:name w:val="WW8Num45"/>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ahoma"/>
      </w:rPr>
    </w:lvl>
  </w:abstractNum>
  <w:abstractNum w:abstractNumId="46" w15:restartNumberingAfterBreak="0">
    <w:nsid w:val="0000002F"/>
    <w:multiLevelType w:val="singleLevel"/>
    <w:tmpl w:val="0000002F"/>
    <w:name w:val="WW8Num47"/>
    <w:lvl w:ilvl="0">
      <w:start w:val="1"/>
      <w:numFmt w:val="bullet"/>
      <w:lvlText w:val=""/>
      <w:lvlJc w:val="left"/>
      <w:pPr>
        <w:tabs>
          <w:tab w:val="num" w:pos="0"/>
        </w:tabs>
        <w:ind w:left="420" w:hanging="360"/>
      </w:pPr>
      <w:rPr>
        <w:rFonts w:ascii="Symbol" w:hAnsi="Symbol" w:cs="Symbol" w:hint="default"/>
        <w:sz w:val="20"/>
        <w:szCs w:val="20"/>
      </w:rPr>
    </w:lvl>
  </w:abstractNum>
  <w:abstractNum w:abstractNumId="47" w15:restartNumberingAfterBreak="0">
    <w:nsid w:val="00000030"/>
    <w:multiLevelType w:val="singleLevel"/>
    <w:tmpl w:val="00000030"/>
    <w:name w:val="WW8Num48"/>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48" w15:restartNumberingAfterBreak="0">
    <w:nsid w:val="00000031"/>
    <w:multiLevelType w:val="singleLevel"/>
    <w:tmpl w:val="00000031"/>
    <w:name w:val="WW8Num49"/>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49" w15:restartNumberingAfterBreak="0">
    <w:nsid w:val="00000032"/>
    <w:multiLevelType w:val="singleLevel"/>
    <w:tmpl w:val="00000032"/>
    <w:name w:val="WW8Num50"/>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50" w15:restartNumberingAfterBreak="0">
    <w:nsid w:val="00000033"/>
    <w:multiLevelType w:val="multilevel"/>
    <w:tmpl w:val="00000033"/>
    <w:name w:val="WW8Num51"/>
    <w:lvl w:ilvl="0">
      <w:start w:val="1"/>
      <w:numFmt w:val="lowerLetter"/>
      <w:lvlText w:val="%1)"/>
      <w:lvlJc w:val="left"/>
      <w:pPr>
        <w:tabs>
          <w:tab w:val="num" w:pos="0"/>
        </w:tabs>
        <w:ind w:left="720" w:hanging="360"/>
      </w:pPr>
      <w:rPr>
        <w:rFonts w:ascii="Tahoma" w:hAnsi="Tahoma" w:cs="Symbol" w:hint="default"/>
        <w:sz w:val="20"/>
        <w:szCs w:val="20"/>
        <w:lang w:val="it-IT"/>
      </w:rPr>
    </w:lvl>
    <w:lvl w:ilvl="1">
      <w:start w:val="1"/>
      <w:numFmt w:val="lowerLetter"/>
      <w:lvlText w:val="%2)"/>
      <w:lvlJc w:val="left"/>
      <w:pPr>
        <w:tabs>
          <w:tab w:val="num" w:pos="0"/>
        </w:tabs>
        <w:ind w:left="1440" w:hanging="360"/>
      </w:pPr>
      <w:rPr>
        <w:rFonts w:ascii="Tahoma" w:hAnsi="Tahoma" w:cs="Tahoma" w:hint="default"/>
        <w:iCs/>
        <w:sz w:val="20"/>
        <w:szCs w:val="20"/>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0000034"/>
    <w:multiLevelType w:val="singleLevel"/>
    <w:tmpl w:val="00000034"/>
    <w:name w:val="WW8Num52"/>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52" w15:restartNumberingAfterBreak="0">
    <w:nsid w:val="00000035"/>
    <w:multiLevelType w:val="singleLevel"/>
    <w:tmpl w:val="00000035"/>
    <w:name w:val="WW8Num53"/>
    <w:lvl w:ilvl="0">
      <w:numFmt w:val="bullet"/>
      <w:lvlText w:val="•"/>
      <w:lvlJc w:val="left"/>
      <w:pPr>
        <w:tabs>
          <w:tab w:val="num" w:pos="0"/>
        </w:tabs>
        <w:ind w:left="720" w:hanging="360"/>
      </w:pPr>
      <w:rPr>
        <w:rFonts w:ascii="Bookman Old Style" w:hAnsi="Bookman Old Style" w:cs="OpenSymbol" w:hint="default"/>
        <w:sz w:val="20"/>
        <w:szCs w:val="20"/>
        <w:lang w:val="it-IT"/>
      </w:rPr>
    </w:lvl>
  </w:abstractNum>
  <w:abstractNum w:abstractNumId="53" w15:restartNumberingAfterBreak="0">
    <w:nsid w:val="00000036"/>
    <w:multiLevelType w:val="singleLevel"/>
    <w:tmpl w:val="00000036"/>
    <w:name w:val="WW8Num54"/>
    <w:lvl w:ilvl="0">
      <w:numFmt w:val="bullet"/>
      <w:lvlText w:val="•"/>
      <w:lvlJc w:val="left"/>
      <w:pPr>
        <w:tabs>
          <w:tab w:val="num" w:pos="0"/>
        </w:tabs>
        <w:ind w:left="424" w:hanging="284"/>
      </w:pPr>
      <w:rPr>
        <w:rFonts w:ascii="Bookman Old Style" w:hAnsi="Bookman Old Style" w:cs="OpenSymbol" w:hint="default"/>
        <w:w w:val="99"/>
        <w:sz w:val="20"/>
        <w:szCs w:val="20"/>
        <w:lang w:val="it-IT"/>
      </w:rPr>
    </w:lvl>
  </w:abstractNum>
  <w:abstractNum w:abstractNumId="54" w15:restartNumberingAfterBreak="0">
    <w:nsid w:val="00000037"/>
    <w:multiLevelType w:val="singleLevel"/>
    <w:tmpl w:val="00000037"/>
    <w:name w:val="WW8Num55"/>
    <w:lvl w:ilvl="0">
      <w:start w:val="1"/>
      <w:numFmt w:val="bullet"/>
      <w:lvlText w:val=""/>
      <w:lvlJc w:val="left"/>
      <w:pPr>
        <w:tabs>
          <w:tab w:val="num" w:pos="0"/>
        </w:tabs>
        <w:ind w:left="1138" w:hanging="360"/>
      </w:pPr>
      <w:rPr>
        <w:rFonts w:ascii="Symbol" w:hAnsi="Symbol" w:cs="Symbol" w:hint="default"/>
        <w:szCs w:val="20"/>
        <w:lang w:eastAsia="ar-SA"/>
      </w:rPr>
    </w:lvl>
  </w:abstractNum>
  <w:abstractNum w:abstractNumId="55" w15:restartNumberingAfterBreak="0">
    <w:nsid w:val="00000038"/>
    <w:multiLevelType w:val="multilevel"/>
    <w:tmpl w:val="00000038"/>
    <w:name w:val="WW8Num56"/>
    <w:lvl w:ilvl="0">
      <w:numFmt w:val="bullet"/>
      <w:lvlText w:val="•"/>
      <w:lvlJc w:val="left"/>
      <w:pPr>
        <w:tabs>
          <w:tab w:val="num" w:pos="0"/>
        </w:tabs>
        <w:ind w:left="424" w:hanging="284"/>
      </w:pPr>
      <w:rPr>
        <w:rFonts w:ascii="Bookman Old Style" w:hAnsi="Bookman Old Style" w:cs="OpenSymbol" w:hint="default"/>
        <w:w w:val="99"/>
        <w:sz w:val="20"/>
        <w:szCs w:val="20"/>
        <w:lang w:val="it-IT"/>
      </w:rPr>
    </w:lvl>
    <w:lvl w:ilvl="1">
      <w:numFmt w:val="bullet"/>
      <w:lvlText w:val="-"/>
      <w:lvlJc w:val="left"/>
      <w:pPr>
        <w:tabs>
          <w:tab w:val="num" w:pos="0"/>
        </w:tabs>
        <w:ind w:left="535" w:hanging="286"/>
      </w:pPr>
      <w:rPr>
        <w:rFonts w:ascii="Bookman Old Style" w:hAnsi="Bookman Old Style" w:cs="Symbol" w:hint="default"/>
        <w:w w:val="99"/>
        <w:sz w:val="20"/>
        <w:szCs w:val="32"/>
        <w:lang w:val="it-IT"/>
      </w:rPr>
    </w:lvl>
    <w:lvl w:ilvl="2">
      <w:numFmt w:val="bullet"/>
      <w:lvlText w:val="•"/>
      <w:lvlJc w:val="left"/>
      <w:pPr>
        <w:tabs>
          <w:tab w:val="num" w:pos="0"/>
        </w:tabs>
        <w:ind w:left="992" w:hanging="286"/>
      </w:pPr>
      <w:rPr>
        <w:rFonts w:ascii="Liberation Serif" w:hAnsi="Liberation Serif" w:cs="Liberation Serif" w:hint="default"/>
      </w:rPr>
    </w:lvl>
    <w:lvl w:ilvl="3">
      <w:numFmt w:val="bullet"/>
      <w:lvlText w:val="•"/>
      <w:lvlJc w:val="left"/>
      <w:pPr>
        <w:tabs>
          <w:tab w:val="num" w:pos="0"/>
        </w:tabs>
        <w:ind w:left="1444" w:hanging="286"/>
      </w:pPr>
      <w:rPr>
        <w:rFonts w:ascii="Liberation Serif" w:hAnsi="Liberation Serif" w:cs="Liberation Serif" w:hint="default"/>
      </w:rPr>
    </w:lvl>
    <w:lvl w:ilvl="4">
      <w:numFmt w:val="bullet"/>
      <w:lvlText w:val="•"/>
      <w:lvlJc w:val="left"/>
      <w:pPr>
        <w:tabs>
          <w:tab w:val="num" w:pos="0"/>
        </w:tabs>
        <w:ind w:left="1896" w:hanging="286"/>
      </w:pPr>
      <w:rPr>
        <w:rFonts w:ascii="Liberation Serif" w:hAnsi="Liberation Serif" w:cs="Liberation Serif" w:hint="default"/>
      </w:rPr>
    </w:lvl>
    <w:lvl w:ilvl="5">
      <w:numFmt w:val="bullet"/>
      <w:lvlText w:val="•"/>
      <w:lvlJc w:val="left"/>
      <w:pPr>
        <w:tabs>
          <w:tab w:val="num" w:pos="0"/>
        </w:tabs>
        <w:ind w:left="2348" w:hanging="286"/>
      </w:pPr>
      <w:rPr>
        <w:rFonts w:ascii="Liberation Serif" w:hAnsi="Liberation Serif" w:cs="Liberation Serif" w:hint="default"/>
      </w:rPr>
    </w:lvl>
    <w:lvl w:ilvl="6">
      <w:numFmt w:val="bullet"/>
      <w:lvlText w:val="•"/>
      <w:lvlJc w:val="left"/>
      <w:pPr>
        <w:tabs>
          <w:tab w:val="num" w:pos="0"/>
        </w:tabs>
        <w:ind w:left="2801" w:hanging="286"/>
      </w:pPr>
      <w:rPr>
        <w:rFonts w:ascii="Liberation Serif" w:hAnsi="Liberation Serif" w:cs="Liberation Serif" w:hint="default"/>
      </w:rPr>
    </w:lvl>
    <w:lvl w:ilvl="7">
      <w:numFmt w:val="bullet"/>
      <w:lvlText w:val="•"/>
      <w:lvlJc w:val="left"/>
      <w:pPr>
        <w:tabs>
          <w:tab w:val="num" w:pos="0"/>
        </w:tabs>
        <w:ind w:left="3253" w:hanging="286"/>
      </w:pPr>
      <w:rPr>
        <w:rFonts w:ascii="Liberation Serif" w:hAnsi="Liberation Serif" w:cs="Liberation Serif" w:hint="default"/>
      </w:rPr>
    </w:lvl>
    <w:lvl w:ilvl="8">
      <w:numFmt w:val="bullet"/>
      <w:lvlText w:val="•"/>
      <w:lvlJc w:val="left"/>
      <w:pPr>
        <w:tabs>
          <w:tab w:val="num" w:pos="0"/>
        </w:tabs>
        <w:ind w:left="3705" w:hanging="286"/>
      </w:pPr>
      <w:rPr>
        <w:rFonts w:ascii="Liberation Serif" w:hAnsi="Liberation Serif" w:cs="Liberation Serif" w:hint="default"/>
      </w:rPr>
    </w:lvl>
  </w:abstractNum>
  <w:abstractNum w:abstractNumId="56" w15:restartNumberingAfterBreak="0">
    <w:nsid w:val="00000039"/>
    <w:multiLevelType w:val="multilevel"/>
    <w:tmpl w:val="00000039"/>
    <w:name w:val="WW8Num57"/>
    <w:lvl w:ilvl="0">
      <w:numFmt w:val="bullet"/>
      <w:lvlText w:val="•"/>
      <w:lvlJc w:val="left"/>
      <w:pPr>
        <w:tabs>
          <w:tab w:val="num" w:pos="0"/>
        </w:tabs>
        <w:ind w:left="424" w:hanging="284"/>
      </w:pPr>
      <w:rPr>
        <w:rFonts w:ascii="Bookman Old Style" w:hAnsi="Bookman Old Style" w:cs="OpenSymbol" w:hint="default"/>
        <w:w w:val="99"/>
        <w:sz w:val="20"/>
        <w:szCs w:val="20"/>
        <w:lang w:val="it-IT"/>
      </w:rPr>
    </w:lvl>
    <w:lvl w:ilvl="1">
      <w:numFmt w:val="bullet"/>
      <w:lvlText w:val="-"/>
      <w:lvlJc w:val="left"/>
      <w:pPr>
        <w:tabs>
          <w:tab w:val="num" w:pos="0"/>
        </w:tabs>
        <w:ind w:left="535" w:hanging="286"/>
      </w:pPr>
      <w:rPr>
        <w:rFonts w:ascii="Bookman Old Style" w:hAnsi="Bookman Old Style" w:cs="Symbol" w:hint="default"/>
        <w:w w:val="99"/>
        <w:sz w:val="20"/>
        <w:szCs w:val="32"/>
        <w:lang w:val="it-IT"/>
      </w:rPr>
    </w:lvl>
    <w:lvl w:ilvl="2">
      <w:numFmt w:val="bullet"/>
      <w:lvlText w:val="•"/>
      <w:lvlJc w:val="left"/>
      <w:pPr>
        <w:tabs>
          <w:tab w:val="num" w:pos="0"/>
        </w:tabs>
        <w:ind w:left="992" w:hanging="286"/>
      </w:pPr>
      <w:rPr>
        <w:rFonts w:ascii="Liberation Serif" w:hAnsi="Liberation Serif" w:cs="Liberation Serif" w:hint="default"/>
      </w:rPr>
    </w:lvl>
    <w:lvl w:ilvl="3">
      <w:numFmt w:val="bullet"/>
      <w:lvlText w:val="•"/>
      <w:lvlJc w:val="left"/>
      <w:pPr>
        <w:tabs>
          <w:tab w:val="num" w:pos="0"/>
        </w:tabs>
        <w:ind w:left="1444" w:hanging="286"/>
      </w:pPr>
      <w:rPr>
        <w:rFonts w:ascii="Liberation Serif" w:hAnsi="Liberation Serif" w:cs="Liberation Serif" w:hint="default"/>
      </w:rPr>
    </w:lvl>
    <w:lvl w:ilvl="4">
      <w:numFmt w:val="bullet"/>
      <w:lvlText w:val="•"/>
      <w:lvlJc w:val="left"/>
      <w:pPr>
        <w:tabs>
          <w:tab w:val="num" w:pos="0"/>
        </w:tabs>
        <w:ind w:left="1896" w:hanging="286"/>
      </w:pPr>
      <w:rPr>
        <w:rFonts w:ascii="Liberation Serif" w:hAnsi="Liberation Serif" w:cs="Liberation Serif" w:hint="default"/>
      </w:rPr>
    </w:lvl>
    <w:lvl w:ilvl="5">
      <w:numFmt w:val="bullet"/>
      <w:lvlText w:val="•"/>
      <w:lvlJc w:val="left"/>
      <w:pPr>
        <w:tabs>
          <w:tab w:val="num" w:pos="0"/>
        </w:tabs>
        <w:ind w:left="2348" w:hanging="286"/>
      </w:pPr>
      <w:rPr>
        <w:rFonts w:ascii="Liberation Serif" w:hAnsi="Liberation Serif" w:cs="Liberation Serif" w:hint="default"/>
      </w:rPr>
    </w:lvl>
    <w:lvl w:ilvl="6">
      <w:numFmt w:val="bullet"/>
      <w:lvlText w:val="•"/>
      <w:lvlJc w:val="left"/>
      <w:pPr>
        <w:tabs>
          <w:tab w:val="num" w:pos="0"/>
        </w:tabs>
        <w:ind w:left="2801" w:hanging="286"/>
      </w:pPr>
      <w:rPr>
        <w:rFonts w:ascii="Liberation Serif" w:hAnsi="Liberation Serif" w:cs="Liberation Serif" w:hint="default"/>
      </w:rPr>
    </w:lvl>
    <w:lvl w:ilvl="7">
      <w:numFmt w:val="bullet"/>
      <w:lvlText w:val="•"/>
      <w:lvlJc w:val="left"/>
      <w:pPr>
        <w:tabs>
          <w:tab w:val="num" w:pos="0"/>
        </w:tabs>
        <w:ind w:left="3253" w:hanging="286"/>
      </w:pPr>
      <w:rPr>
        <w:rFonts w:ascii="Liberation Serif" w:hAnsi="Liberation Serif" w:cs="Liberation Serif" w:hint="default"/>
      </w:rPr>
    </w:lvl>
    <w:lvl w:ilvl="8">
      <w:numFmt w:val="bullet"/>
      <w:lvlText w:val="•"/>
      <w:lvlJc w:val="left"/>
      <w:pPr>
        <w:tabs>
          <w:tab w:val="num" w:pos="0"/>
        </w:tabs>
        <w:ind w:left="3705" w:hanging="286"/>
      </w:pPr>
      <w:rPr>
        <w:rFonts w:ascii="Liberation Serif" w:hAnsi="Liberation Serif" w:cs="Liberation Serif" w:hint="default"/>
      </w:rPr>
    </w:lvl>
  </w:abstractNum>
  <w:abstractNum w:abstractNumId="57" w15:restartNumberingAfterBreak="0">
    <w:nsid w:val="0000003A"/>
    <w:multiLevelType w:val="multilevel"/>
    <w:tmpl w:val="0000003A"/>
    <w:name w:val="WW8Num58"/>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8" w15:restartNumberingAfterBreak="0">
    <w:nsid w:val="0000003B"/>
    <w:multiLevelType w:val="multilevel"/>
    <w:tmpl w:val="0000003B"/>
    <w:name w:val="WW8Num59"/>
    <w:lvl w:ilvl="0">
      <w:numFmt w:val="bullet"/>
      <w:lvlText w:val=""/>
      <w:lvlJc w:val="left"/>
      <w:pPr>
        <w:tabs>
          <w:tab w:val="num" w:pos="720"/>
        </w:tabs>
        <w:ind w:left="720" w:hanging="360"/>
      </w:pPr>
      <w:rPr>
        <w:rFonts w:ascii="Symbol" w:hAnsi="Symbol" w:cs="Symbol" w:hint="default"/>
        <w:sz w:val="20"/>
        <w:szCs w:val="20"/>
        <w:lang w:val="it-IT"/>
      </w:rPr>
    </w:lvl>
    <w:lvl w:ilvl="1">
      <w:start w:val="1"/>
      <w:numFmt w:val="bullet"/>
      <w:lvlText w:val=""/>
      <w:lvlJc w:val="left"/>
      <w:pPr>
        <w:tabs>
          <w:tab w:val="num" w:pos="1080"/>
        </w:tabs>
        <w:ind w:left="1080" w:hanging="360"/>
      </w:pPr>
      <w:rPr>
        <w:rFonts w:ascii="Symbol" w:hAnsi="Symbol" w:cs="Symbol"/>
        <w:lang w:val="it-IT"/>
      </w:rPr>
    </w:lvl>
    <w:lvl w:ilvl="2">
      <w:start w:val="1"/>
      <w:numFmt w:val="bullet"/>
      <w:lvlText w:val=""/>
      <w:lvlJc w:val="left"/>
      <w:pPr>
        <w:tabs>
          <w:tab w:val="num" w:pos="1440"/>
        </w:tabs>
        <w:ind w:left="1440" w:hanging="360"/>
      </w:pPr>
      <w:rPr>
        <w:rFonts w:ascii="Symbol" w:hAnsi="Symbol" w:cs="Symbol"/>
        <w:lang w:val="it-IT"/>
      </w:rPr>
    </w:lvl>
    <w:lvl w:ilvl="3">
      <w:start w:val="1"/>
      <w:numFmt w:val="bullet"/>
      <w:lvlText w:val=""/>
      <w:lvlJc w:val="left"/>
      <w:pPr>
        <w:tabs>
          <w:tab w:val="num" w:pos="1800"/>
        </w:tabs>
        <w:ind w:left="1800" w:hanging="360"/>
      </w:pPr>
      <w:rPr>
        <w:rFonts w:ascii="Symbol" w:hAnsi="Symbol" w:cs="Symbol"/>
        <w:lang w:val="it-IT"/>
      </w:rPr>
    </w:lvl>
    <w:lvl w:ilvl="4">
      <w:numFmt w:val="bullet"/>
      <w:lvlText w:val="-"/>
      <w:lvlJc w:val="left"/>
      <w:pPr>
        <w:tabs>
          <w:tab w:val="num" w:pos="2160"/>
        </w:tabs>
        <w:ind w:left="2160" w:hanging="360"/>
      </w:pPr>
      <w:rPr>
        <w:rFonts w:ascii="Bookman Old Style" w:hAnsi="Bookman Old Style" w:cs="Symbol" w:hint="default"/>
        <w:sz w:val="20"/>
        <w:szCs w:val="32"/>
        <w:lang w:val="it-IT"/>
      </w:rPr>
    </w:lvl>
    <w:lvl w:ilvl="5">
      <w:start w:val="1"/>
      <w:numFmt w:val="bullet"/>
      <w:lvlText w:val=""/>
      <w:lvlJc w:val="left"/>
      <w:pPr>
        <w:tabs>
          <w:tab w:val="num" w:pos="2520"/>
        </w:tabs>
        <w:ind w:left="2520" w:hanging="360"/>
      </w:pPr>
      <w:rPr>
        <w:rFonts w:ascii="Symbol" w:hAnsi="Symbol" w:cs="Symbol"/>
        <w:lang w:val="it-IT"/>
      </w:rPr>
    </w:lvl>
    <w:lvl w:ilvl="6">
      <w:start w:val="1"/>
      <w:numFmt w:val="bullet"/>
      <w:lvlText w:val=""/>
      <w:lvlJc w:val="left"/>
      <w:pPr>
        <w:tabs>
          <w:tab w:val="num" w:pos="2880"/>
        </w:tabs>
        <w:ind w:left="2880" w:hanging="360"/>
      </w:pPr>
      <w:rPr>
        <w:rFonts w:ascii="Symbol" w:hAnsi="Symbol" w:cs="Symbol"/>
        <w:lang w:val="it-IT"/>
      </w:rPr>
    </w:lvl>
    <w:lvl w:ilvl="7">
      <w:start w:val="1"/>
      <w:numFmt w:val="bullet"/>
      <w:lvlText w:val=""/>
      <w:lvlJc w:val="left"/>
      <w:pPr>
        <w:tabs>
          <w:tab w:val="num" w:pos="3240"/>
        </w:tabs>
        <w:ind w:left="3240" w:hanging="360"/>
      </w:pPr>
      <w:rPr>
        <w:rFonts w:ascii="Symbol" w:hAnsi="Symbol" w:cs="Symbol"/>
        <w:lang w:val="it-IT"/>
      </w:rPr>
    </w:lvl>
    <w:lvl w:ilvl="8">
      <w:start w:val="1"/>
      <w:numFmt w:val="bullet"/>
      <w:lvlText w:val=""/>
      <w:lvlJc w:val="left"/>
      <w:pPr>
        <w:tabs>
          <w:tab w:val="num" w:pos="3600"/>
        </w:tabs>
        <w:ind w:left="3600" w:hanging="360"/>
      </w:pPr>
      <w:rPr>
        <w:rFonts w:ascii="Symbol" w:hAnsi="Symbol" w:cs="Symbol"/>
        <w:lang w:val="it-IT"/>
      </w:rPr>
    </w:lvl>
  </w:abstractNum>
  <w:abstractNum w:abstractNumId="59" w15:restartNumberingAfterBreak="0">
    <w:nsid w:val="0000003C"/>
    <w:multiLevelType w:val="multilevel"/>
    <w:tmpl w:val="0000003C"/>
    <w:name w:val="WW8Num60"/>
    <w:lvl w:ilvl="0">
      <w:start w:val="1"/>
      <w:numFmt w:val="bullet"/>
      <w:lvlText w:val=""/>
      <w:lvlJc w:val="left"/>
      <w:pPr>
        <w:tabs>
          <w:tab w:val="num" w:pos="0"/>
        </w:tabs>
        <w:ind w:left="0" w:firstLine="0"/>
      </w:pPr>
      <w:rPr>
        <w:rFonts w:ascii="Symbol" w:hAnsi="Symbol" w:cs="OpenSymbol"/>
        <w:color w:val="000000"/>
        <w:sz w:val="20"/>
        <w:szCs w:val="24"/>
        <w:lang w:val="it-IT" w:eastAsia="zh-CN"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 w:val="20"/>
        <w:szCs w:val="24"/>
        <w:lang w:val="it-IT" w:eastAsia="zh-CN"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 w:val="20"/>
        <w:szCs w:val="24"/>
        <w:lang w:val="it-IT" w:eastAsia="zh-CN"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0" w15:restartNumberingAfterBreak="0">
    <w:nsid w:val="0000003D"/>
    <w:multiLevelType w:val="multilevel"/>
    <w:tmpl w:val="0000003D"/>
    <w:name w:val="WW8Num61"/>
    <w:lvl w:ilvl="0">
      <w:start w:val="1"/>
      <w:numFmt w:val="bullet"/>
      <w:lvlText w:val=""/>
      <w:lvlJc w:val="left"/>
      <w:pPr>
        <w:tabs>
          <w:tab w:val="num" w:pos="0"/>
        </w:tabs>
        <w:ind w:left="0" w:firstLine="0"/>
      </w:pPr>
      <w:rPr>
        <w:rFonts w:ascii="Symbol" w:hAnsi="Symbol" w:cs="OpenSymbol"/>
        <w:color w:val="00000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1" w15:restartNumberingAfterBreak="0">
    <w:nsid w:val="0000003E"/>
    <w:multiLevelType w:val="multilevel"/>
    <w:tmpl w:val="0000003E"/>
    <w:name w:val="WW8Num62"/>
    <w:lvl w:ilvl="0">
      <w:start w:val="1"/>
      <w:numFmt w:val="decimal"/>
      <w:lvlText w:val="%1)"/>
      <w:lvlJc w:val="left"/>
      <w:pPr>
        <w:tabs>
          <w:tab w:val="num" w:pos="0"/>
        </w:tabs>
        <w:ind w:left="0" w:firstLine="0"/>
      </w:pPr>
      <w:rPr>
        <w:rFonts w:cs="Tahoma"/>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0000003F"/>
    <w:multiLevelType w:val="multilevel"/>
    <w:tmpl w:val="0000003F"/>
    <w:name w:val="WW8Num63"/>
    <w:lvl w:ilvl="0">
      <w:start w:val="1"/>
      <w:numFmt w:val="bullet"/>
      <w:lvlText w:val=""/>
      <w:lvlJc w:val="left"/>
      <w:pPr>
        <w:tabs>
          <w:tab w:val="num" w:pos="0"/>
        </w:tabs>
        <w:ind w:left="0" w:firstLine="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3" w15:restartNumberingAfterBreak="0">
    <w:nsid w:val="00000040"/>
    <w:multiLevelType w:val="multilevel"/>
    <w:tmpl w:val="00000040"/>
    <w:name w:val="WW8Num64"/>
    <w:lvl w:ilvl="0">
      <w:start w:val="1"/>
      <w:numFmt w:val="bullet"/>
      <w:lvlText w:val=""/>
      <w:lvlJc w:val="left"/>
      <w:pPr>
        <w:tabs>
          <w:tab w:val="num" w:pos="0"/>
        </w:tabs>
        <w:ind w:left="0" w:firstLine="0"/>
      </w:pPr>
      <w:rPr>
        <w:rFonts w:ascii="Symbol" w:hAnsi="Symbol" w:cs="OpenSymbol"/>
        <w:color w:val="00000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4" w15:restartNumberingAfterBreak="0">
    <w:nsid w:val="00000041"/>
    <w:multiLevelType w:val="multilevel"/>
    <w:tmpl w:val="00000041"/>
    <w:name w:val="WW8Num65"/>
    <w:lvl w:ilvl="0">
      <w:start w:val="1"/>
      <w:numFmt w:val="bullet"/>
      <w:lvlText w:val=""/>
      <w:lvlJc w:val="left"/>
      <w:pPr>
        <w:tabs>
          <w:tab w:val="num" w:pos="0"/>
        </w:tabs>
        <w:ind w:left="0" w:firstLine="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5" w15:restartNumberingAfterBreak="0">
    <w:nsid w:val="00000042"/>
    <w:multiLevelType w:val="multilevel"/>
    <w:tmpl w:val="00000042"/>
    <w:name w:val="WW8Num66"/>
    <w:lvl w:ilvl="0">
      <w:start w:val="1"/>
      <w:numFmt w:val="bullet"/>
      <w:lvlText w:val=""/>
      <w:lvlJc w:val="left"/>
      <w:pPr>
        <w:tabs>
          <w:tab w:val="num" w:pos="0"/>
        </w:tabs>
        <w:ind w:left="0" w:firstLine="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6"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7" w15:restartNumberingAfterBreak="0">
    <w:nsid w:val="00000044"/>
    <w:multiLevelType w:val="multilevel"/>
    <w:tmpl w:val="00000044"/>
    <w:name w:val="WW8Num68"/>
    <w:lvl w:ilvl="0">
      <w:start w:val="1"/>
      <w:numFmt w:val="bullet"/>
      <w:lvlText w:val=""/>
      <w:lvlJc w:val="left"/>
      <w:pPr>
        <w:tabs>
          <w:tab w:val="num" w:pos="0"/>
        </w:tabs>
        <w:ind w:left="0" w:firstLine="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C9211E"/>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C9211E"/>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15:restartNumberingAfterBreak="0">
    <w:nsid w:val="00000045"/>
    <w:multiLevelType w:val="multilevel"/>
    <w:tmpl w:val="00000045"/>
    <w:name w:val="WW8Num6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15:restartNumberingAfterBreak="0">
    <w:nsid w:val="00000047"/>
    <w:multiLevelType w:val="multilevel"/>
    <w:tmpl w:val="00000047"/>
    <w:name w:val="WW8Num71"/>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1"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2" w15:restartNumberingAfterBreak="0">
    <w:nsid w:val="00000049"/>
    <w:multiLevelType w:val="multilevel"/>
    <w:tmpl w:val="00000049"/>
    <w:name w:val="WW8Num73"/>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3" w15:restartNumberingAfterBreak="0">
    <w:nsid w:val="0000004A"/>
    <w:multiLevelType w:val="multilevel"/>
    <w:tmpl w:val="0000004A"/>
    <w:name w:val="WW8Num74"/>
    <w:lvl w:ilvl="0">
      <w:numFmt w:val="bullet"/>
      <w:lvlText w:val=""/>
      <w:lvlJc w:val="left"/>
      <w:pPr>
        <w:tabs>
          <w:tab w:val="num" w:pos="720"/>
        </w:tabs>
        <w:ind w:left="720" w:hanging="360"/>
      </w:pPr>
      <w:rPr>
        <w:rFonts w:ascii="Symbol" w:hAnsi="Symbol" w:cs="Symbol" w:hint="default"/>
        <w:sz w:val="20"/>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4" w15:restartNumberingAfterBreak="0">
    <w:nsid w:val="0000004B"/>
    <w:multiLevelType w:val="singleLevel"/>
    <w:tmpl w:val="0000004B"/>
    <w:name w:val="WW8Num75"/>
    <w:lvl w:ilvl="0">
      <w:numFmt w:val="bullet"/>
      <w:lvlText w:val="-"/>
      <w:lvlJc w:val="left"/>
      <w:pPr>
        <w:tabs>
          <w:tab w:val="num" w:pos="0"/>
        </w:tabs>
        <w:ind w:left="1429" w:hanging="360"/>
      </w:pPr>
      <w:rPr>
        <w:rFonts w:ascii="Bookman Old Style" w:hAnsi="Bookman Old Style" w:cs="Symbol" w:hint="default"/>
        <w:sz w:val="20"/>
        <w:szCs w:val="32"/>
      </w:rPr>
    </w:lvl>
  </w:abstractNum>
  <w:abstractNum w:abstractNumId="75" w15:restartNumberingAfterBreak="0">
    <w:nsid w:val="0000004C"/>
    <w:multiLevelType w:val="singleLevel"/>
    <w:tmpl w:val="0000004C"/>
    <w:name w:val="WW8Num76"/>
    <w:lvl w:ilvl="0">
      <w:numFmt w:val="bullet"/>
      <w:lvlText w:val=""/>
      <w:lvlJc w:val="left"/>
      <w:pPr>
        <w:tabs>
          <w:tab w:val="num" w:pos="0"/>
        </w:tabs>
        <w:ind w:left="1080" w:hanging="360"/>
      </w:pPr>
      <w:rPr>
        <w:rFonts w:ascii="Symbol" w:hAnsi="Symbol" w:cs="Symbol" w:hint="default"/>
        <w:sz w:val="20"/>
        <w:szCs w:val="32"/>
      </w:rPr>
    </w:lvl>
  </w:abstractNum>
  <w:abstractNum w:abstractNumId="76" w15:restartNumberingAfterBreak="0">
    <w:nsid w:val="0000004D"/>
    <w:multiLevelType w:val="multilevel"/>
    <w:tmpl w:val="0000004D"/>
    <w:name w:val="WW8Num77"/>
    <w:lvl w:ilvl="0">
      <w:numFmt w:val="bullet"/>
      <w:lvlText w:val=""/>
      <w:lvlJc w:val="left"/>
      <w:pPr>
        <w:tabs>
          <w:tab w:val="num" w:pos="720"/>
        </w:tabs>
        <w:ind w:left="720" w:hanging="360"/>
      </w:pPr>
      <w:rPr>
        <w:rFonts w:ascii="Symbol" w:hAnsi="Symbol" w:cs="Symbol" w:hint="default"/>
        <w:caps w:val="0"/>
        <w:smallCaps w:val="0"/>
        <w:sz w:val="20"/>
        <w:szCs w:val="20"/>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7" w15:restartNumberingAfterBreak="0">
    <w:nsid w:val="0000004E"/>
    <w:multiLevelType w:val="singleLevel"/>
    <w:tmpl w:val="F65829D8"/>
    <w:name w:val="WW8Num78"/>
    <w:lvl w:ilvl="0">
      <w:numFmt w:val="bullet"/>
      <w:lvlText w:val=""/>
      <w:lvlJc w:val="left"/>
      <w:rPr>
        <w:rFonts w:ascii="Symbol" w:hAnsi="Symbol" w:cs="Symbol" w:hint="default"/>
        <w:color w:val="auto"/>
        <w:sz w:val="28"/>
        <w:szCs w:val="28"/>
        <w:lang w:eastAsia="it-IT"/>
      </w:rPr>
    </w:lvl>
  </w:abstractNum>
  <w:abstractNum w:abstractNumId="78" w15:restartNumberingAfterBreak="0">
    <w:nsid w:val="00CB088B"/>
    <w:multiLevelType w:val="hybridMultilevel"/>
    <w:tmpl w:val="D69231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030C006A"/>
    <w:multiLevelType w:val="multilevel"/>
    <w:tmpl w:val="38E2A8A2"/>
    <w:styleLink w:val="WWNum14"/>
    <w:lvl w:ilvl="0">
      <w:start w:val="7"/>
      <w:numFmt w:val="decimal"/>
      <w:lvlText w:val="%1"/>
      <w:lvlJc w:val="left"/>
      <w:pPr>
        <w:ind w:left="360" w:hanging="360"/>
      </w:pPr>
      <w:rPr>
        <w:b/>
        <w:i/>
      </w:rPr>
    </w:lvl>
    <w:lvl w:ilvl="1">
      <w:start w:val="3"/>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440" w:hanging="1440"/>
      </w:pPr>
      <w:rPr>
        <w:b/>
        <w:i/>
      </w:rPr>
    </w:lvl>
    <w:lvl w:ilvl="6">
      <w:start w:val="1"/>
      <w:numFmt w:val="decimal"/>
      <w:lvlText w:val="%1.%2.%3.%4.%5.%6.%7"/>
      <w:lvlJc w:val="left"/>
      <w:pPr>
        <w:ind w:left="1440" w:hanging="1440"/>
      </w:pPr>
      <w:rPr>
        <w:b/>
        <w:i/>
      </w:rPr>
    </w:lvl>
    <w:lvl w:ilvl="7">
      <w:start w:val="1"/>
      <w:numFmt w:val="decimal"/>
      <w:lvlText w:val="%1.%2.%3.%4.%5.%6.%7.%8"/>
      <w:lvlJc w:val="left"/>
      <w:pPr>
        <w:ind w:left="1800" w:hanging="1800"/>
      </w:pPr>
      <w:rPr>
        <w:b/>
        <w:i/>
      </w:rPr>
    </w:lvl>
    <w:lvl w:ilvl="8">
      <w:start w:val="1"/>
      <w:numFmt w:val="decimal"/>
      <w:lvlText w:val="%1.%2.%3.%4.%5.%6.%7.%8.%9"/>
      <w:lvlJc w:val="left"/>
      <w:pPr>
        <w:ind w:left="1800" w:hanging="1800"/>
      </w:pPr>
      <w:rPr>
        <w:b/>
        <w:i/>
      </w:rPr>
    </w:lvl>
  </w:abstractNum>
  <w:abstractNum w:abstractNumId="80" w15:restartNumberingAfterBreak="0">
    <w:nsid w:val="03730691"/>
    <w:multiLevelType w:val="hybridMultilevel"/>
    <w:tmpl w:val="0C50CAA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1" w15:restartNumberingAfterBreak="0">
    <w:nsid w:val="05E302F4"/>
    <w:multiLevelType w:val="hybridMultilevel"/>
    <w:tmpl w:val="FF4A7F9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2" w15:restartNumberingAfterBreak="0">
    <w:nsid w:val="06BE6459"/>
    <w:multiLevelType w:val="hybridMultilevel"/>
    <w:tmpl w:val="01C41C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086E26CF"/>
    <w:multiLevelType w:val="hybridMultilevel"/>
    <w:tmpl w:val="02804A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4" w15:restartNumberingAfterBreak="0">
    <w:nsid w:val="094F4E96"/>
    <w:multiLevelType w:val="hybridMultilevel"/>
    <w:tmpl w:val="221E40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5" w15:restartNumberingAfterBreak="0">
    <w:nsid w:val="0AB20008"/>
    <w:multiLevelType w:val="hybridMultilevel"/>
    <w:tmpl w:val="B51A1AB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0B0618E0"/>
    <w:multiLevelType w:val="hybridMultilevel"/>
    <w:tmpl w:val="244AB7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7" w15:restartNumberingAfterBreak="0">
    <w:nsid w:val="0B1A17B6"/>
    <w:multiLevelType w:val="multilevel"/>
    <w:tmpl w:val="9A88E19E"/>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0B270F74"/>
    <w:multiLevelType w:val="hybridMultilevel"/>
    <w:tmpl w:val="EB92E08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9" w15:restartNumberingAfterBreak="0">
    <w:nsid w:val="0C942FB1"/>
    <w:multiLevelType w:val="hybridMultilevel"/>
    <w:tmpl w:val="A4AE57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0" w15:restartNumberingAfterBreak="0">
    <w:nsid w:val="0CD201B1"/>
    <w:multiLevelType w:val="hybridMultilevel"/>
    <w:tmpl w:val="14D2332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1" w15:restartNumberingAfterBreak="0">
    <w:nsid w:val="0D3857CA"/>
    <w:multiLevelType w:val="multilevel"/>
    <w:tmpl w:val="5AA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D68087F"/>
    <w:multiLevelType w:val="hybridMultilevel"/>
    <w:tmpl w:val="4A88D9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3" w15:restartNumberingAfterBreak="0">
    <w:nsid w:val="0DA77DD2"/>
    <w:multiLevelType w:val="hybridMultilevel"/>
    <w:tmpl w:val="714A920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4" w15:restartNumberingAfterBreak="0">
    <w:nsid w:val="0DD977E3"/>
    <w:multiLevelType w:val="hybridMultilevel"/>
    <w:tmpl w:val="2F4CE7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5" w15:restartNumberingAfterBreak="0">
    <w:nsid w:val="0EE76790"/>
    <w:multiLevelType w:val="hybridMultilevel"/>
    <w:tmpl w:val="B9F448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6" w15:restartNumberingAfterBreak="0">
    <w:nsid w:val="0F1D6FBB"/>
    <w:multiLevelType w:val="hybridMultilevel"/>
    <w:tmpl w:val="3F26F2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7" w15:restartNumberingAfterBreak="0">
    <w:nsid w:val="0FC70426"/>
    <w:multiLevelType w:val="hybridMultilevel"/>
    <w:tmpl w:val="C54C6D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8" w15:restartNumberingAfterBreak="0">
    <w:nsid w:val="11855F25"/>
    <w:multiLevelType w:val="hybridMultilevel"/>
    <w:tmpl w:val="C24A05C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9" w15:restartNumberingAfterBreak="0">
    <w:nsid w:val="11DA014D"/>
    <w:multiLevelType w:val="hybridMultilevel"/>
    <w:tmpl w:val="0512C0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0" w15:restartNumberingAfterBreak="0">
    <w:nsid w:val="129524F4"/>
    <w:multiLevelType w:val="hybridMultilevel"/>
    <w:tmpl w:val="D7D0DC2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1" w15:restartNumberingAfterBreak="0">
    <w:nsid w:val="12B55542"/>
    <w:multiLevelType w:val="hybridMultilevel"/>
    <w:tmpl w:val="39BEA5F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13612F29"/>
    <w:multiLevelType w:val="hybridMultilevel"/>
    <w:tmpl w:val="F1C6FC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3" w15:restartNumberingAfterBreak="0">
    <w:nsid w:val="13E02E48"/>
    <w:multiLevelType w:val="hybridMultilevel"/>
    <w:tmpl w:val="56DED89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4" w15:restartNumberingAfterBreak="0">
    <w:nsid w:val="1412384E"/>
    <w:multiLevelType w:val="hybridMultilevel"/>
    <w:tmpl w:val="044AE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15FB66E6"/>
    <w:multiLevelType w:val="hybridMultilevel"/>
    <w:tmpl w:val="8AE6201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6" w15:restartNumberingAfterBreak="0">
    <w:nsid w:val="16137FD8"/>
    <w:multiLevelType w:val="hybridMultilevel"/>
    <w:tmpl w:val="BDD07320"/>
    <w:lvl w:ilvl="0" w:tplc="04100001">
      <w:start w:val="1"/>
      <w:numFmt w:val="bullet"/>
      <w:lvlText w:val=""/>
      <w:lvlJc w:val="left"/>
      <w:pPr>
        <w:ind w:left="1439" w:hanging="360"/>
      </w:pPr>
      <w:rPr>
        <w:rFonts w:ascii="Symbol" w:hAnsi="Symbol" w:hint="default"/>
      </w:rPr>
    </w:lvl>
    <w:lvl w:ilvl="1" w:tplc="04100003" w:tentative="1">
      <w:start w:val="1"/>
      <w:numFmt w:val="bullet"/>
      <w:lvlText w:val="o"/>
      <w:lvlJc w:val="left"/>
      <w:pPr>
        <w:ind w:left="2159" w:hanging="360"/>
      </w:pPr>
      <w:rPr>
        <w:rFonts w:ascii="Courier New" w:hAnsi="Courier New" w:cs="Courier New" w:hint="default"/>
      </w:rPr>
    </w:lvl>
    <w:lvl w:ilvl="2" w:tplc="04100005" w:tentative="1">
      <w:start w:val="1"/>
      <w:numFmt w:val="bullet"/>
      <w:lvlText w:val=""/>
      <w:lvlJc w:val="left"/>
      <w:pPr>
        <w:ind w:left="2879" w:hanging="360"/>
      </w:pPr>
      <w:rPr>
        <w:rFonts w:ascii="Wingdings" w:hAnsi="Wingdings" w:hint="default"/>
      </w:rPr>
    </w:lvl>
    <w:lvl w:ilvl="3" w:tplc="04100001" w:tentative="1">
      <w:start w:val="1"/>
      <w:numFmt w:val="bullet"/>
      <w:lvlText w:val=""/>
      <w:lvlJc w:val="left"/>
      <w:pPr>
        <w:ind w:left="3599" w:hanging="360"/>
      </w:pPr>
      <w:rPr>
        <w:rFonts w:ascii="Symbol" w:hAnsi="Symbol" w:hint="default"/>
      </w:rPr>
    </w:lvl>
    <w:lvl w:ilvl="4" w:tplc="04100003" w:tentative="1">
      <w:start w:val="1"/>
      <w:numFmt w:val="bullet"/>
      <w:lvlText w:val="o"/>
      <w:lvlJc w:val="left"/>
      <w:pPr>
        <w:ind w:left="4319" w:hanging="360"/>
      </w:pPr>
      <w:rPr>
        <w:rFonts w:ascii="Courier New" w:hAnsi="Courier New" w:cs="Courier New" w:hint="default"/>
      </w:rPr>
    </w:lvl>
    <w:lvl w:ilvl="5" w:tplc="04100005" w:tentative="1">
      <w:start w:val="1"/>
      <w:numFmt w:val="bullet"/>
      <w:lvlText w:val=""/>
      <w:lvlJc w:val="left"/>
      <w:pPr>
        <w:ind w:left="5039" w:hanging="360"/>
      </w:pPr>
      <w:rPr>
        <w:rFonts w:ascii="Wingdings" w:hAnsi="Wingdings" w:hint="default"/>
      </w:rPr>
    </w:lvl>
    <w:lvl w:ilvl="6" w:tplc="04100001" w:tentative="1">
      <w:start w:val="1"/>
      <w:numFmt w:val="bullet"/>
      <w:lvlText w:val=""/>
      <w:lvlJc w:val="left"/>
      <w:pPr>
        <w:ind w:left="5759" w:hanging="360"/>
      </w:pPr>
      <w:rPr>
        <w:rFonts w:ascii="Symbol" w:hAnsi="Symbol" w:hint="default"/>
      </w:rPr>
    </w:lvl>
    <w:lvl w:ilvl="7" w:tplc="04100003" w:tentative="1">
      <w:start w:val="1"/>
      <w:numFmt w:val="bullet"/>
      <w:lvlText w:val="o"/>
      <w:lvlJc w:val="left"/>
      <w:pPr>
        <w:ind w:left="6479" w:hanging="360"/>
      </w:pPr>
      <w:rPr>
        <w:rFonts w:ascii="Courier New" w:hAnsi="Courier New" w:cs="Courier New" w:hint="default"/>
      </w:rPr>
    </w:lvl>
    <w:lvl w:ilvl="8" w:tplc="04100005" w:tentative="1">
      <w:start w:val="1"/>
      <w:numFmt w:val="bullet"/>
      <w:lvlText w:val=""/>
      <w:lvlJc w:val="left"/>
      <w:pPr>
        <w:ind w:left="7199" w:hanging="360"/>
      </w:pPr>
      <w:rPr>
        <w:rFonts w:ascii="Wingdings" w:hAnsi="Wingdings" w:hint="default"/>
      </w:rPr>
    </w:lvl>
  </w:abstractNum>
  <w:abstractNum w:abstractNumId="107" w15:restartNumberingAfterBreak="0">
    <w:nsid w:val="16754E87"/>
    <w:multiLevelType w:val="hybridMultilevel"/>
    <w:tmpl w:val="BA501D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8" w15:restartNumberingAfterBreak="0">
    <w:nsid w:val="17C054E2"/>
    <w:multiLevelType w:val="hybridMultilevel"/>
    <w:tmpl w:val="644AF6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9" w15:restartNumberingAfterBreak="0">
    <w:nsid w:val="17C16B99"/>
    <w:multiLevelType w:val="hybridMultilevel"/>
    <w:tmpl w:val="42CCFA9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0" w15:restartNumberingAfterBreak="0">
    <w:nsid w:val="18425A51"/>
    <w:multiLevelType w:val="hybridMultilevel"/>
    <w:tmpl w:val="18329A8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1" w15:restartNumberingAfterBreak="0">
    <w:nsid w:val="192E275F"/>
    <w:multiLevelType w:val="hybridMultilevel"/>
    <w:tmpl w:val="350ED4A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2" w15:restartNumberingAfterBreak="0">
    <w:nsid w:val="193301B4"/>
    <w:multiLevelType w:val="hybridMultilevel"/>
    <w:tmpl w:val="F22867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3" w15:restartNumberingAfterBreak="0">
    <w:nsid w:val="197F5A0B"/>
    <w:multiLevelType w:val="multilevel"/>
    <w:tmpl w:val="65284002"/>
    <w:styleLink w:val="WWNum5"/>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4" w15:restartNumberingAfterBreak="0">
    <w:nsid w:val="199B7C34"/>
    <w:multiLevelType w:val="hybridMultilevel"/>
    <w:tmpl w:val="7680A9A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5" w15:restartNumberingAfterBreak="0">
    <w:nsid w:val="19AB6389"/>
    <w:multiLevelType w:val="hybridMultilevel"/>
    <w:tmpl w:val="8C4484C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6" w15:restartNumberingAfterBreak="0">
    <w:nsid w:val="1C4E1475"/>
    <w:multiLevelType w:val="hybridMultilevel"/>
    <w:tmpl w:val="EC5056A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1CF934DF"/>
    <w:multiLevelType w:val="hybridMultilevel"/>
    <w:tmpl w:val="F9025F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8" w15:restartNumberingAfterBreak="0">
    <w:nsid w:val="1E264D5B"/>
    <w:multiLevelType w:val="hybridMultilevel"/>
    <w:tmpl w:val="DF0EA2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9" w15:restartNumberingAfterBreak="0">
    <w:nsid w:val="1E54212A"/>
    <w:multiLevelType w:val="hybridMultilevel"/>
    <w:tmpl w:val="04C42B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0" w15:restartNumberingAfterBreak="0">
    <w:nsid w:val="21D5123E"/>
    <w:multiLevelType w:val="hybridMultilevel"/>
    <w:tmpl w:val="2F681EC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1" w15:restartNumberingAfterBreak="0">
    <w:nsid w:val="223033E6"/>
    <w:multiLevelType w:val="hybridMultilevel"/>
    <w:tmpl w:val="64B2560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2" w15:restartNumberingAfterBreak="0">
    <w:nsid w:val="22321B64"/>
    <w:multiLevelType w:val="hybridMultilevel"/>
    <w:tmpl w:val="07EE95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3" w15:restartNumberingAfterBreak="0">
    <w:nsid w:val="225558A0"/>
    <w:multiLevelType w:val="hybridMultilevel"/>
    <w:tmpl w:val="509265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4" w15:restartNumberingAfterBreak="0">
    <w:nsid w:val="235D5E62"/>
    <w:multiLevelType w:val="hybridMultilevel"/>
    <w:tmpl w:val="3E6ACA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5" w15:restartNumberingAfterBreak="0">
    <w:nsid w:val="23F364A3"/>
    <w:multiLevelType w:val="hybridMultilevel"/>
    <w:tmpl w:val="FD9834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6" w15:restartNumberingAfterBreak="0">
    <w:nsid w:val="242E2CB2"/>
    <w:multiLevelType w:val="multilevel"/>
    <w:tmpl w:val="AB86C1D4"/>
    <w:styleLink w:val="WWNum7"/>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24300B54"/>
    <w:multiLevelType w:val="hybridMultilevel"/>
    <w:tmpl w:val="689821B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8" w15:restartNumberingAfterBreak="0">
    <w:nsid w:val="259E6050"/>
    <w:multiLevelType w:val="hybridMultilevel"/>
    <w:tmpl w:val="441E93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9" w15:restartNumberingAfterBreak="0">
    <w:nsid w:val="25F443FC"/>
    <w:multiLevelType w:val="hybridMultilevel"/>
    <w:tmpl w:val="AE266FF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0" w15:restartNumberingAfterBreak="0">
    <w:nsid w:val="27A35F5A"/>
    <w:multiLevelType w:val="hybridMultilevel"/>
    <w:tmpl w:val="80EC53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1" w15:restartNumberingAfterBreak="0">
    <w:nsid w:val="27C735EC"/>
    <w:multiLevelType w:val="multilevel"/>
    <w:tmpl w:val="AFBE9A2A"/>
    <w:styleLink w:val="WWNum2"/>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15:restartNumberingAfterBreak="0">
    <w:nsid w:val="280D2736"/>
    <w:multiLevelType w:val="hybridMultilevel"/>
    <w:tmpl w:val="E556AFF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3" w15:restartNumberingAfterBreak="0">
    <w:nsid w:val="28185B9B"/>
    <w:multiLevelType w:val="hybridMultilevel"/>
    <w:tmpl w:val="25300C0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4" w15:restartNumberingAfterBreak="0">
    <w:nsid w:val="28532945"/>
    <w:multiLevelType w:val="hybridMultilevel"/>
    <w:tmpl w:val="D56A06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5" w15:restartNumberingAfterBreak="0">
    <w:nsid w:val="295D0E93"/>
    <w:multiLevelType w:val="hybridMultilevel"/>
    <w:tmpl w:val="C00067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6" w15:restartNumberingAfterBreak="0">
    <w:nsid w:val="2A066C17"/>
    <w:multiLevelType w:val="hybridMultilevel"/>
    <w:tmpl w:val="ECF8763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7" w15:restartNumberingAfterBreak="0">
    <w:nsid w:val="2ACB769C"/>
    <w:multiLevelType w:val="hybridMultilevel"/>
    <w:tmpl w:val="2870AD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8" w15:restartNumberingAfterBreak="0">
    <w:nsid w:val="2B022E2B"/>
    <w:multiLevelType w:val="hybridMultilevel"/>
    <w:tmpl w:val="B1EE7DF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9" w15:restartNumberingAfterBreak="0">
    <w:nsid w:val="2B8B2723"/>
    <w:multiLevelType w:val="hybridMultilevel"/>
    <w:tmpl w:val="3342F9F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0" w15:restartNumberingAfterBreak="0">
    <w:nsid w:val="2C212BA1"/>
    <w:multiLevelType w:val="hybridMultilevel"/>
    <w:tmpl w:val="0332D8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1" w15:restartNumberingAfterBreak="0">
    <w:nsid w:val="2D1C39E1"/>
    <w:multiLevelType w:val="hybridMultilevel"/>
    <w:tmpl w:val="E8D6F0CA"/>
    <w:lvl w:ilvl="0" w:tplc="04100001">
      <w:start w:val="1"/>
      <w:numFmt w:val="bullet"/>
      <w:lvlText w:val=""/>
      <w:lvlJc w:val="left"/>
      <w:pPr>
        <w:ind w:left="1080" w:hanging="360"/>
      </w:pPr>
      <w:rPr>
        <w:rFonts w:ascii="Symbol" w:hAnsi="Symbol" w:hint="default"/>
      </w:rPr>
    </w:lvl>
    <w:lvl w:ilvl="1" w:tplc="F7C854D2">
      <w:numFmt w:val="bullet"/>
      <w:lvlText w:val="-"/>
      <w:lvlJc w:val="left"/>
      <w:pPr>
        <w:ind w:left="1800" w:hanging="360"/>
      </w:pPr>
      <w:rPr>
        <w:rFonts w:ascii="Tahoma" w:eastAsia="SimSun" w:hAnsi="Tahoma" w:cs="Tahoma"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2" w15:restartNumberingAfterBreak="0">
    <w:nsid w:val="2D623FDE"/>
    <w:multiLevelType w:val="hybridMultilevel"/>
    <w:tmpl w:val="E7320C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2EE71429"/>
    <w:multiLevelType w:val="hybridMultilevel"/>
    <w:tmpl w:val="39FCC4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4" w15:restartNumberingAfterBreak="0">
    <w:nsid w:val="2EF11078"/>
    <w:multiLevelType w:val="hybridMultilevel"/>
    <w:tmpl w:val="16FAFD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5" w15:restartNumberingAfterBreak="0">
    <w:nsid w:val="2F325D60"/>
    <w:multiLevelType w:val="hybridMultilevel"/>
    <w:tmpl w:val="E83CFC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6" w15:restartNumberingAfterBreak="0">
    <w:nsid w:val="2F631D1A"/>
    <w:multiLevelType w:val="hybridMultilevel"/>
    <w:tmpl w:val="5C1067F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7" w15:restartNumberingAfterBreak="0">
    <w:nsid w:val="30C11007"/>
    <w:multiLevelType w:val="hybridMultilevel"/>
    <w:tmpl w:val="0C86C2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8" w15:restartNumberingAfterBreak="0">
    <w:nsid w:val="310E2F76"/>
    <w:multiLevelType w:val="hybridMultilevel"/>
    <w:tmpl w:val="03BEE2A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9" w15:restartNumberingAfterBreak="0">
    <w:nsid w:val="31751D76"/>
    <w:multiLevelType w:val="hybridMultilevel"/>
    <w:tmpl w:val="E61419B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0" w15:restartNumberingAfterBreak="0">
    <w:nsid w:val="31AD73ED"/>
    <w:multiLevelType w:val="hybridMultilevel"/>
    <w:tmpl w:val="1C8804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1" w15:restartNumberingAfterBreak="0">
    <w:nsid w:val="32151F0C"/>
    <w:multiLevelType w:val="hybridMultilevel"/>
    <w:tmpl w:val="6908EB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2" w15:restartNumberingAfterBreak="0">
    <w:nsid w:val="323B4F55"/>
    <w:multiLevelType w:val="hybridMultilevel"/>
    <w:tmpl w:val="13422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33365DE7"/>
    <w:multiLevelType w:val="hybridMultilevel"/>
    <w:tmpl w:val="6EAAF2E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33B60E03"/>
    <w:multiLevelType w:val="multilevel"/>
    <w:tmpl w:val="74E86E44"/>
    <w:styleLink w:val="WWNum8"/>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15:restartNumberingAfterBreak="0">
    <w:nsid w:val="34295432"/>
    <w:multiLevelType w:val="hybridMultilevel"/>
    <w:tmpl w:val="76D669B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6" w15:restartNumberingAfterBreak="0">
    <w:nsid w:val="3522177E"/>
    <w:multiLevelType w:val="hybridMultilevel"/>
    <w:tmpl w:val="CEC2821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7" w15:restartNumberingAfterBreak="0">
    <w:nsid w:val="35AB3072"/>
    <w:multiLevelType w:val="multilevel"/>
    <w:tmpl w:val="68E47AFA"/>
    <w:styleLink w:val="WWNum1"/>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35B63E61"/>
    <w:multiLevelType w:val="hybridMultilevel"/>
    <w:tmpl w:val="7CC4FD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9" w15:restartNumberingAfterBreak="0">
    <w:nsid w:val="360C2ABA"/>
    <w:multiLevelType w:val="hybridMultilevel"/>
    <w:tmpl w:val="C4406A3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0" w15:restartNumberingAfterBreak="0">
    <w:nsid w:val="37283D14"/>
    <w:multiLevelType w:val="hybridMultilevel"/>
    <w:tmpl w:val="DD5A40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1" w15:restartNumberingAfterBreak="0">
    <w:nsid w:val="37323E2F"/>
    <w:multiLevelType w:val="hybridMultilevel"/>
    <w:tmpl w:val="B0EA85B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2" w15:restartNumberingAfterBreak="0">
    <w:nsid w:val="375A4739"/>
    <w:multiLevelType w:val="hybridMultilevel"/>
    <w:tmpl w:val="49C470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3" w15:restartNumberingAfterBreak="0">
    <w:nsid w:val="376B41F8"/>
    <w:multiLevelType w:val="hybridMultilevel"/>
    <w:tmpl w:val="278EBBD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15:restartNumberingAfterBreak="0">
    <w:nsid w:val="38585316"/>
    <w:multiLevelType w:val="hybridMultilevel"/>
    <w:tmpl w:val="7EA061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5" w15:restartNumberingAfterBreak="0">
    <w:nsid w:val="38957CF7"/>
    <w:multiLevelType w:val="hybridMultilevel"/>
    <w:tmpl w:val="C8B41DE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6" w15:restartNumberingAfterBreak="0">
    <w:nsid w:val="38AE1866"/>
    <w:multiLevelType w:val="hybridMultilevel"/>
    <w:tmpl w:val="84AC57E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7" w15:restartNumberingAfterBreak="0">
    <w:nsid w:val="38F24F6C"/>
    <w:multiLevelType w:val="hybridMultilevel"/>
    <w:tmpl w:val="5086B8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8" w15:restartNumberingAfterBreak="0">
    <w:nsid w:val="391F2050"/>
    <w:multiLevelType w:val="hybridMultilevel"/>
    <w:tmpl w:val="C6AE7D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9" w15:restartNumberingAfterBreak="0">
    <w:nsid w:val="3A910D9C"/>
    <w:multiLevelType w:val="multilevel"/>
    <w:tmpl w:val="92B47B3E"/>
    <w:styleLink w:val="WWNum16"/>
    <w:lvl w:ilvl="0">
      <w:start w:val="7"/>
      <w:numFmt w:val="decimal"/>
      <w:lvlText w:val="%1"/>
      <w:lvlJc w:val="left"/>
      <w:pPr>
        <w:ind w:left="360" w:hanging="360"/>
      </w:pPr>
      <w:rPr>
        <w:b/>
        <w:i/>
      </w:rPr>
    </w:lvl>
    <w:lvl w:ilvl="1">
      <w:start w:val="3"/>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440" w:hanging="1440"/>
      </w:pPr>
      <w:rPr>
        <w:b/>
        <w:i/>
      </w:rPr>
    </w:lvl>
    <w:lvl w:ilvl="6">
      <w:start w:val="1"/>
      <w:numFmt w:val="decimal"/>
      <w:lvlText w:val="%1.%2.%3.%4.%5.%6.%7"/>
      <w:lvlJc w:val="left"/>
      <w:pPr>
        <w:ind w:left="1440" w:hanging="1440"/>
      </w:pPr>
      <w:rPr>
        <w:b/>
        <w:i/>
      </w:rPr>
    </w:lvl>
    <w:lvl w:ilvl="7">
      <w:start w:val="1"/>
      <w:numFmt w:val="decimal"/>
      <w:lvlText w:val="%1.%2.%3.%4.%5.%6.%7.%8"/>
      <w:lvlJc w:val="left"/>
      <w:pPr>
        <w:ind w:left="1800" w:hanging="1800"/>
      </w:pPr>
      <w:rPr>
        <w:b/>
        <w:i/>
      </w:rPr>
    </w:lvl>
    <w:lvl w:ilvl="8">
      <w:start w:val="1"/>
      <w:numFmt w:val="decimal"/>
      <w:lvlText w:val="%1.%2.%3.%4.%5.%6.%7.%8.%9"/>
      <w:lvlJc w:val="left"/>
      <w:pPr>
        <w:ind w:left="1800" w:hanging="1800"/>
      </w:pPr>
      <w:rPr>
        <w:b/>
        <w:i/>
      </w:rPr>
    </w:lvl>
  </w:abstractNum>
  <w:abstractNum w:abstractNumId="170" w15:restartNumberingAfterBreak="0">
    <w:nsid w:val="3AE101F4"/>
    <w:multiLevelType w:val="hybridMultilevel"/>
    <w:tmpl w:val="344A47B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1" w15:restartNumberingAfterBreak="0">
    <w:nsid w:val="3B9762DF"/>
    <w:multiLevelType w:val="hybridMultilevel"/>
    <w:tmpl w:val="BEE022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2" w15:restartNumberingAfterBreak="0">
    <w:nsid w:val="3BBE2ADB"/>
    <w:multiLevelType w:val="hybridMultilevel"/>
    <w:tmpl w:val="81A867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3" w15:restartNumberingAfterBreak="0">
    <w:nsid w:val="3BCF3924"/>
    <w:multiLevelType w:val="hybridMultilevel"/>
    <w:tmpl w:val="BB7657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4" w15:restartNumberingAfterBreak="0">
    <w:nsid w:val="3C9E483F"/>
    <w:multiLevelType w:val="hybridMultilevel"/>
    <w:tmpl w:val="B478E7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5" w15:restartNumberingAfterBreak="0">
    <w:nsid w:val="3CCE7AA5"/>
    <w:multiLevelType w:val="hybridMultilevel"/>
    <w:tmpl w:val="D6AE5D3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6" w15:restartNumberingAfterBreak="0">
    <w:nsid w:val="3D66219F"/>
    <w:multiLevelType w:val="hybridMultilevel"/>
    <w:tmpl w:val="22B00C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7" w15:restartNumberingAfterBreak="0">
    <w:nsid w:val="3E4526A7"/>
    <w:multiLevelType w:val="hybridMultilevel"/>
    <w:tmpl w:val="94B8F904"/>
    <w:lvl w:ilvl="0" w:tplc="FAA2B8F2">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78" w15:restartNumberingAfterBreak="0">
    <w:nsid w:val="3EBB5E2E"/>
    <w:multiLevelType w:val="hybridMultilevel"/>
    <w:tmpl w:val="BC78CB0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9" w15:restartNumberingAfterBreak="0">
    <w:nsid w:val="3EF90FAD"/>
    <w:multiLevelType w:val="hybridMultilevel"/>
    <w:tmpl w:val="065404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0" w15:restartNumberingAfterBreak="0">
    <w:nsid w:val="3F474285"/>
    <w:multiLevelType w:val="hybridMultilevel"/>
    <w:tmpl w:val="52002DA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1" w15:restartNumberingAfterBreak="0">
    <w:nsid w:val="3F73628B"/>
    <w:multiLevelType w:val="multilevel"/>
    <w:tmpl w:val="8B48CAD0"/>
    <w:styleLink w:val="WWNum4"/>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2" w15:restartNumberingAfterBreak="0">
    <w:nsid w:val="400258A4"/>
    <w:multiLevelType w:val="hybridMultilevel"/>
    <w:tmpl w:val="C85AE0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3" w15:restartNumberingAfterBreak="0">
    <w:nsid w:val="404D7946"/>
    <w:multiLevelType w:val="hybridMultilevel"/>
    <w:tmpl w:val="A912A9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4" w15:restartNumberingAfterBreak="0">
    <w:nsid w:val="409B3EB8"/>
    <w:multiLevelType w:val="hybridMultilevel"/>
    <w:tmpl w:val="C9C4E2D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411511C0"/>
    <w:multiLevelType w:val="hybridMultilevel"/>
    <w:tmpl w:val="6012E9A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6" w15:restartNumberingAfterBreak="0">
    <w:nsid w:val="411B7744"/>
    <w:multiLevelType w:val="hybridMultilevel"/>
    <w:tmpl w:val="712AEF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7" w15:restartNumberingAfterBreak="0">
    <w:nsid w:val="41C44875"/>
    <w:multiLevelType w:val="hybridMultilevel"/>
    <w:tmpl w:val="E9F6043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8" w15:restartNumberingAfterBreak="0">
    <w:nsid w:val="4300105D"/>
    <w:multiLevelType w:val="hybridMultilevel"/>
    <w:tmpl w:val="DAD487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9" w15:restartNumberingAfterBreak="0">
    <w:nsid w:val="430D1D81"/>
    <w:multiLevelType w:val="hybridMultilevel"/>
    <w:tmpl w:val="43EC1BA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0" w15:restartNumberingAfterBreak="0">
    <w:nsid w:val="435F4D04"/>
    <w:multiLevelType w:val="hybridMultilevel"/>
    <w:tmpl w:val="B68A71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1" w15:restartNumberingAfterBreak="0">
    <w:nsid w:val="43D61CA5"/>
    <w:multiLevelType w:val="hybridMultilevel"/>
    <w:tmpl w:val="2640E93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2" w15:restartNumberingAfterBreak="0">
    <w:nsid w:val="44041950"/>
    <w:multiLevelType w:val="multilevel"/>
    <w:tmpl w:val="97E49ED2"/>
    <w:styleLink w:val="WWNum17"/>
    <w:lvl w:ilvl="0">
      <w:start w:val="7"/>
      <w:numFmt w:val="decimal"/>
      <w:lvlText w:val="%1."/>
      <w:lvlJc w:val="left"/>
      <w:pPr>
        <w:ind w:left="760" w:hanging="400"/>
      </w:pPr>
      <w:rPr>
        <w:b/>
        <w:i/>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3" w15:restartNumberingAfterBreak="0">
    <w:nsid w:val="44483241"/>
    <w:multiLevelType w:val="hybridMultilevel"/>
    <w:tmpl w:val="56D248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4" w15:restartNumberingAfterBreak="0">
    <w:nsid w:val="45405BF0"/>
    <w:multiLevelType w:val="hybridMultilevel"/>
    <w:tmpl w:val="9050BD6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5" w15:restartNumberingAfterBreak="0">
    <w:nsid w:val="45725931"/>
    <w:multiLevelType w:val="hybridMultilevel"/>
    <w:tmpl w:val="CA04A32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6" w15:restartNumberingAfterBreak="0">
    <w:nsid w:val="465150EF"/>
    <w:multiLevelType w:val="hybridMultilevel"/>
    <w:tmpl w:val="6AF6DC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7" w15:restartNumberingAfterBreak="0">
    <w:nsid w:val="47D7509F"/>
    <w:multiLevelType w:val="multilevel"/>
    <w:tmpl w:val="304880BC"/>
    <w:styleLink w:val="WWNum18"/>
    <w:lvl w:ilvl="0">
      <w:start w:val="7"/>
      <w:numFmt w:val="decimal"/>
      <w:lvlText w:val="%1"/>
      <w:lvlJc w:val="left"/>
      <w:pPr>
        <w:ind w:left="360" w:hanging="360"/>
      </w:pPr>
      <w:rPr>
        <w:b/>
        <w:i/>
      </w:rPr>
    </w:lvl>
    <w:lvl w:ilvl="1">
      <w:start w:val="3"/>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440" w:hanging="1440"/>
      </w:pPr>
      <w:rPr>
        <w:b/>
        <w:i/>
      </w:rPr>
    </w:lvl>
    <w:lvl w:ilvl="6">
      <w:start w:val="1"/>
      <w:numFmt w:val="decimal"/>
      <w:lvlText w:val="%1.%2.%3.%4.%5.%6.%7"/>
      <w:lvlJc w:val="left"/>
      <w:pPr>
        <w:ind w:left="1440" w:hanging="1440"/>
      </w:pPr>
      <w:rPr>
        <w:b/>
        <w:i/>
      </w:rPr>
    </w:lvl>
    <w:lvl w:ilvl="7">
      <w:start w:val="1"/>
      <w:numFmt w:val="decimal"/>
      <w:lvlText w:val="%1.%2.%3.%4.%5.%6.%7.%8"/>
      <w:lvlJc w:val="left"/>
      <w:pPr>
        <w:ind w:left="1800" w:hanging="1800"/>
      </w:pPr>
      <w:rPr>
        <w:b/>
        <w:i/>
      </w:rPr>
    </w:lvl>
    <w:lvl w:ilvl="8">
      <w:start w:val="1"/>
      <w:numFmt w:val="decimal"/>
      <w:lvlText w:val="%1.%2.%3.%4.%5.%6.%7.%8.%9"/>
      <w:lvlJc w:val="left"/>
      <w:pPr>
        <w:ind w:left="1800" w:hanging="1800"/>
      </w:pPr>
      <w:rPr>
        <w:b/>
        <w:i/>
      </w:rPr>
    </w:lvl>
  </w:abstractNum>
  <w:abstractNum w:abstractNumId="198" w15:restartNumberingAfterBreak="0">
    <w:nsid w:val="47E44501"/>
    <w:multiLevelType w:val="hybridMultilevel"/>
    <w:tmpl w:val="F552CD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9" w15:restartNumberingAfterBreak="0">
    <w:nsid w:val="48495F54"/>
    <w:multiLevelType w:val="hybridMultilevel"/>
    <w:tmpl w:val="069608C2"/>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0" w15:restartNumberingAfterBreak="0">
    <w:nsid w:val="49E516CF"/>
    <w:multiLevelType w:val="hybridMultilevel"/>
    <w:tmpl w:val="6A20E89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1" w15:restartNumberingAfterBreak="0">
    <w:nsid w:val="49EA5E20"/>
    <w:multiLevelType w:val="hybridMultilevel"/>
    <w:tmpl w:val="9D44C33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2" w15:restartNumberingAfterBreak="0">
    <w:nsid w:val="4B966DA3"/>
    <w:multiLevelType w:val="hybridMultilevel"/>
    <w:tmpl w:val="8F203F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3" w15:restartNumberingAfterBreak="0">
    <w:nsid w:val="4BFE01A8"/>
    <w:multiLevelType w:val="hybridMultilevel"/>
    <w:tmpl w:val="732857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4" w15:restartNumberingAfterBreak="0">
    <w:nsid w:val="4C0B1765"/>
    <w:multiLevelType w:val="hybridMultilevel"/>
    <w:tmpl w:val="81C4C7D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5" w15:restartNumberingAfterBreak="0">
    <w:nsid w:val="4D1C73E6"/>
    <w:multiLevelType w:val="multilevel"/>
    <w:tmpl w:val="2902B9DE"/>
    <w:styleLink w:val="WWNum12"/>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6" w15:restartNumberingAfterBreak="0">
    <w:nsid w:val="4D6A141C"/>
    <w:multiLevelType w:val="hybridMultilevel"/>
    <w:tmpl w:val="78EC66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7" w15:restartNumberingAfterBreak="0">
    <w:nsid w:val="4E9574DD"/>
    <w:multiLevelType w:val="hybridMultilevel"/>
    <w:tmpl w:val="0804D61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8" w15:restartNumberingAfterBreak="0">
    <w:nsid w:val="4F042182"/>
    <w:multiLevelType w:val="hybridMultilevel"/>
    <w:tmpl w:val="7FEE40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9" w15:restartNumberingAfterBreak="0">
    <w:nsid w:val="514B011D"/>
    <w:multiLevelType w:val="hybridMultilevel"/>
    <w:tmpl w:val="D9BEF1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0" w15:restartNumberingAfterBreak="0">
    <w:nsid w:val="516567C1"/>
    <w:multiLevelType w:val="hybridMultilevel"/>
    <w:tmpl w:val="40E88D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1" w15:restartNumberingAfterBreak="0">
    <w:nsid w:val="51BF5144"/>
    <w:multiLevelType w:val="hybridMultilevel"/>
    <w:tmpl w:val="C8C4BF1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2" w15:restartNumberingAfterBreak="0">
    <w:nsid w:val="521830C8"/>
    <w:multiLevelType w:val="multilevel"/>
    <w:tmpl w:val="392A8A6C"/>
    <w:styleLink w:val="WWNum9"/>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52443861"/>
    <w:multiLevelType w:val="hybridMultilevel"/>
    <w:tmpl w:val="591877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4" w15:restartNumberingAfterBreak="0">
    <w:nsid w:val="529F7100"/>
    <w:multiLevelType w:val="hybridMultilevel"/>
    <w:tmpl w:val="9858E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5" w15:restartNumberingAfterBreak="0">
    <w:nsid w:val="52E675E0"/>
    <w:multiLevelType w:val="hybridMultilevel"/>
    <w:tmpl w:val="BBFE88E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6" w15:restartNumberingAfterBreak="0">
    <w:nsid w:val="53A116B9"/>
    <w:multiLevelType w:val="hybridMultilevel"/>
    <w:tmpl w:val="B3646F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7" w15:restartNumberingAfterBreak="0">
    <w:nsid w:val="54EE6307"/>
    <w:multiLevelType w:val="hybridMultilevel"/>
    <w:tmpl w:val="944C938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8" w15:restartNumberingAfterBreak="0">
    <w:nsid w:val="557D5C25"/>
    <w:multiLevelType w:val="hybridMultilevel"/>
    <w:tmpl w:val="8D72AF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9" w15:restartNumberingAfterBreak="0">
    <w:nsid w:val="55F67C7C"/>
    <w:multiLevelType w:val="hybridMultilevel"/>
    <w:tmpl w:val="E5161E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0" w15:restartNumberingAfterBreak="0">
    <w:nsid w:val="56A70E01"/>
    <w:multiLevelType w:val="hybridMultilevel"/>
    <w:tmpl w:val="C40C752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1" w15:restartNumberingAfterBreak="0">
    <w:nsid w:val="56D14B4A"/>
    <w:multiLevelType w:val="hybridMultilevel"/>
    <w:tmpl w:val="47B2DE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2" w15:restartNumberingAfterBreak="0">
    <w:nsid w:val="576C15A0"/>
    <w:multiLevelType w:val="hybridMultilevel"/>
    <w:tmpl w:val="BE4CF2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3" w15:restartNumberingAfterBreak="0">
    <w:nsid w:val="5774425D"/>
    <w:multiLevelType w:val="hybridMultilevel"/>
    <w:tmpl w:val="3BBADC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4" w15:restartNumberingAfterBreak="0">
    <w:nsid w:val="57BA45BE"/>
    <w:multiLevelType w:val="hybridMultilevel"/>
    <w:tmpl w:val="BEC2AA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5" w15:restartNumberingAfterBreak="0">
    <w:nsid w:val="58712ED1"/>
    <w:multiLevelType w:val="hybridMultilevel"/>
    <w:tmpl w:val="7996E7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6" w15:restartNumberingAfterBreak="0">
    <w:nsid w:val="595F5055"/>
    <w:multiLevelType w:val="hybridMultilevel"/>
    <w:tmpl w:val="2E62C5B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7" w15:restartNumberingAfterBreak="0">
    <w:nsid w:val="59D46FC8"/>
    <w:multiLevelType w:val="hybridMultilevel"/>
    <w:tmpl w:val="15C8204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8" w15:restartNumberingAfterBreak="0">
    <w:nsid w:val="5A3447DD"/>
    <w:multiLevelType w:val="hybridMultilevel"/>
    <w:tmpl w:val="647675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9" w15:restartNumberingAfterBreak="0">
    <w:nsid w:val="5A3D2745"/>
    <w:multiLevelType w:val="hybridMultilevel"/>
    <w:tmpl w:val="8516202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0" w15:restartNumberingAfterBreak="0">
    <w:nsid w:val="5AEC5899"/>
    <w:multiLevelType w:val="hybridMultilevel"/>
    <w:tmpl w:val="6D7A43F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1" w15:restartNumberingAfterBreak="0">
    <w:nsid w:val="5CF7352D"/>
    <w:multiLevelType w:val="hybridMultilevel"/>
    <w:tmpl w:val="8F74B8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2" w15:restartNumberingAfterBreak="0">
    <w:nsid w:val="5DBC30A4"/>
    <w:multiLevelType w:val="hybridMultilevel"/>
    <w:tmpl w:val="881C39D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3" w15:restartNumberingAfterBreak="0">
    <w:nsid w:val="5F290375"/>
    <w:multiLevelType w:val="hybridMultilevel"/>
    <w:tmpl w:val="84A4069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4" w15:restartNumberingAfterBreak="0">
    <w:nsid w:val="601C693A"/>
    <w:multiLevelType w:val="hybridMultilevel"/>
    <w:tmpl w:val="41C44B3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5" w15:restartNumberingAfterBreak="0">
    <w:nsid w:val="60224BD9"/>
    <w:multiLevelType w:val="hybridMultilevel"/>
    <w:tmpl w:val="EDAC6E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6" w15:restartNumberingAfterBreak="0">
    <w:nsid w:val="60D940E5"/>
    <w:multiLevelType w:val="hybridMultilevel"/>
    <w:tmpl w:val="A87E723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7" w15:restartNumberingAfterBreak="0">
    <w:nsid w:val="622B5773"/>
    <w:multiLevelType w:val="hybridMultilevel"/>
    <w:tmpl w:val="46DE2C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8" w15:restartNumberingAfterBreak="0">
    <w:nsid w:val="63EC2AFB"/>
    <w:multiLevelType w:val="hybridMultilevel"/>
    <w:tmpl w:val="3934F5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9" w15:restartNumberingAfterBreak="0">
    <w:nsid w:val="64502708"/>
    <w:multiLevelType w:val="hybridMultilevel"/>
    <w:tmpl w:val="145438F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0" w15:restartNumberingAfterBreak="0">
    <w:nsid w:val="66B33A3B"/>
    <w:multiLevelType w:val="hybridMultilevel"/>
    <w:tmpl w:val="5F1E8D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1" w15:restartNumberingAfterBreak="0">
    <w:nsid w:val="66EF2615"/>
    <w:multiLevelType w:val="hybridMultilevel"/>
    <w:tmpl w:val="5868EF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2" w15:restartNumberingAfterBreak="0">
    <w:nsid w:val="67E628EB"/>
    <w:multiLevelType w:val="hybridMultilevel"/>
    <w:tmpl w:val="04BE47E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3" w15:restartNumberingAfterBreak="0">
    <w:nsid w:val="68013C72"/>
    <w:multiLevelType w:val="hybridMultilevel"/>
    <w:tmpl w:val="4F66766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4" w15:restartNumberingAfterBreak="0">
    <w:nsid w:val="699B3BC7"/>
    <w:multiLevelType w:val="hybridMultilevel"/>
    <w:tmpl w:val="11B235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5" w15:restartNumberingAfterBreak="0">
    <w:nsid w:val="6A41035F"/>
    <w:multiLevelType w:val="multilevel"/>
    <w:tmpl w:val="DF64AF60"/>
    <w:styleLink w:val="WWNum3"/>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6" w15:restartNumberingAfterBreak="0">
    <w:nsid w:val="6B0F68CC"/>
    <w:multiLevelType w:val="hybridMultilevel"/>
    <w:tmpl w:val="2A508DE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7" w15:restartNumberingAfterBreak="0">
    <w:nsid w:val="6B3B0250"/>
    <w:multiLevelType w:val="hybridMultilevel"/>
    <w:tmpl w:val="EDEE47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8" w15:restartNumberingAfterBreak="0">
    <w:nsid w:val="6BCA6689"/>
    <w:multiLevelType w:val="hybridMultilevel"/>
    <w:tmpl w:val="A456E8B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9" w15:restartNumberingAfterBreak="0">
    <w:nsid w:val="6C710647"/>
    <w:multiLevelType w:val="hybridMultilevel"/>
    <w:tmpl w:val="0074E42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0" w15:restartNumberingAfterBreak="0">
    <w:nsid w:val="6CD457D4"/>
    <w:multiLevelType w:val="hybridMultilevel"/>
    <w:tmpl w:val="508A208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1" w15:restartNumberingAfterBreak="0">
    <w:nsid w:val="6D203DF0"/>
    <w:multiLevelType w:val="hybridMultilevel"/>
    <w:tmpl w:val="A8F8B2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2" w15:restartNumberingAfterBreak="0">
    <w:nsid w:val="6D3B37E9"/>
    <w:multiLevelType w:val="multilevel"/>
    <w:tmpl w:val="631ED5C8"/>
    <w:styleLink w:val="WWNum10"/>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3" w15:restartNumberingAfterBreak="0">
    <w:nsid w:val="6E434771"/>
    <w:multiLevelType w:val="hybridMultilevel"/>
    <w:tmpl w:val="0E4E0A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4" w15:restartNumberingAfterBreak="0">
    <w:nsid w:val="6EFB6A98"/>
    <w:multiLevelType w:val="hybridMultilevel"/>
    <w:tmpl w:val="365A7C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5" w15:restartNumberingAfterBreak="0">
    <w:nsid w:val="6F6D6D92"/>
    <w:multiLevelType w:val="hybridMultilevel"/>
    <w:tmpl w:val="AE8CD0B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6" w15:restartNumberingAfterBreak="0">
    <w:nsid w:val="6F7F3D35"/>
    <w:multiLevelType w:val="hybridMultilevel"/>
    <w:tmpl w:val="9A6EEE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7" w15:restartNumberingAfterBreak="0">
    <w:nsid w:val="7073362C"/>
    <w:multiLevelType w:val="hybridMultilevel"/>
    <w:tmpl w:val="DA488B4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8" w15:restartNumberingAfterBreak="0">
    <w:nsid w:val="70E138F2"/>
    <w:multiLevelType w:val="hybridMultilevel"/>
    <w:tmpl w:val="C46A96E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9" w15:restartNumberingAfterBreak="0">
    <w:nsid w:val="70E96303"/>
    <w:multiLevelType w:val="hybridMultilevel"/>
    <w:tmpl w:val="4DAC18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0" w15:restartNumberingAfterBreak="0">
    <w:nsid w:val="711B64F3"/>
    <w:multiLevelType w:val="hybridMultilevel"/>
    <w:tmpl w:val="196A77E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1" w15:restartNumberingAfterBreak="0">
    <w:nsid w:val="713E3936"/>
    <w:multiLevelType w:val="hybridMultilevel"/>
    <w:tmpl w:val="139ED6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2" w15:restartNumberingAfterBreak="0">
    <w:nsid w:val="723C3724"/>
    <w:multiLevelType w:val="hybridMultilevel"/>
    <w:tmpl w:val="3FE81B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3" w15:restartNumberingAfterBreak="0">
    <w:nsid w:val="72654F62"/>
    <w:multiLevelType w:val="multilevel"/>
    <w:tmpl w:val="46A6C8DE"/>
    <w:styleLink w:val="WWNum15"/>
    <w:lvl w:ilvl="0">
      <w:start w:val="7"/>
      <w:numFmt w:val="decimal"/>
      <w:lvlText w:val="%1"/>
      <w:lvlJc w:val="left"/>
      <w:pPr>
        <w:ind w:left="360" w:hanging="360"/>
      </w:pPr>
      <w:rPr>
        <w:b/>
        <w:i/>
      </w:rPr>
    </w:lvl>
    <w:lvl w:ilvl="1">
      <w:start w:val="3"/>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440" w:hanging="1440"/>
      </w:pPr>
      <w:rPr>
        <w:b/>
        <w:i/>
      </w:rPr>
    </w:lvl>
    <w:lvl w:ilvl="6">
      <w:start w:val="1"/>
      <w:numFmt w:val="decimal"/>
      <w:lvlText w:val="%1.%2.%3.%4.%5.%6.%7"/>
      <w:lvlJc w:val="left"/>
      <w:pPr>
        <w:ind w:left="1440" w:hanging="1440"/>
      </w:pPr>
      <w:rPr>
        <w:b/>
        <w:i/>
      </w:rPr>
    </w:lvl>
    <w:lvl w:ilvl="7">
      <w:start w:val="1"/>
      <w:numFmt w:val="decimal"/>
      <w:lvlText w:val="%1.%2.%3.%4.%5.%6.%7.%8"/>
      <w:lvlJc w:val="left"/>
      <w:pPr>
        <w:ind w:left="1800" w:hanging="1800"/>
      </w:pPr>
      <w:rPr>
        <w:b/>
        <w:i/>
      </w:rPr>
    </w:lvl>
    <w:lvl w:ilvl="8">
      <w:start w:val="1"/>
      <w:numFmt w:val="decimal"/>
      <w:lvlText w:val="%1.%2.%3.%4.%5.%6.%7.%8.%9"/>
      <w:lvlJc w:val="left"/>
      <w:pPr>
        <w:ind w:left="1800" w:hanging="1800"/>
      </w:pPr>
      <w:rPr>
        <w:b/>
        <w:i/>
      </w:rPr>
    </w:lvl>
  </w:abstractNum>
  <w:abstractNum w:abstractNumId="264" w15:restartNumberingAfterBreak="0">
    <w:nsid w:val="72A56C5E"/>
    <w:multiLevelType w:val="hybridMultilevel"/>
    <w:tmpl w:val="5CD27210"/>
    <w:lvl w:ilvl="0" w:tplc="FFFFFFFF">
      <w:start w:val="1"/>
      <w:numFmt w:val="bullet"/>
      <w:lvlText w:val=""/>
      <w:lvlJc w:val="left"/>
      <w:pPr>
        <w:ind w:left="1080" w:hanging="360"/>
      </w:pPr>
      <w:rPr>
        <w:rFonts w:ascii="Symbol" w:hAnsi="Symbol" w:hint="default"/>
      </w:rPr>
    </w:lvl>
    <w:lvl w:ilvl="1" w:tplc="041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5" w15:restartNumberingAfterBreak="0">
    <w:nsid w:val="72DE0D3F"/>
    <w:multiLevelType w:val="hybridMultilevel"/>
    <w:tmpl w:val="9B6ACBE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6" w15:restartNumberingAfterBreak="0">
    <w:nsid w:val="74B50AF8"/>
    <w:multiLevelType w:val="hybridMultilevel"/>
    <w:tmpl w:val="0D3061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7" w15:restartNumberingAfterBreak="0">
    <w:nsid w:val="759F2A70"/>
    <w:multiLevelType w:val="hybridMultilevel"/>
    <w:tmpl w:val="A184CC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8" w15:restartNumberingAfterBreak="0">
    <w:nsid w:val="75CD08E4"/>
    <w:multiLevelType w:val="hybridMultilevel"/>
    <w:tmpl w:val="970C1D9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9" w15:restartNumberingAfterBreak="0">
    <w:nsid w:val="75CF5CA4"/>
    <w:multiLevelType w:val="multilevel"/>
    <w:tmpl w:val="A3940254"/>
    <w:styleLink w:val="WWNum11"/>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0" w15:restartNumberingAfterBreak="0">
    <w:nsid w:val="763058DC"/>
    <w:multiLevelType w:val="hybridMultilevel"/>
    <w:tmpl w:val="54082A7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1" w15:restartNumberingAfterBreak="0">
    <w:nsid w:val="766E362E"/>
    <w:multiLevelType w:val="hybridMultilevel"/>
    <w:tmpl w:val="6F266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2" w15:restartNumberingAfterBreak="0">
    <w:nsid w:val="76FC60AC"/>
    <w:multiLevelType w:val="hybridMultilevel"/>
    <w:tmpl w:val="F378D06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3" w15:restartNumberingAfterBreak="0">
    <w:nsid w:val="79F03548"/>
    <w:multiLevelType w:val="hybridMultilevel"/>
    <w:tmpl w:val="734475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4" w15:restartNumberingAfterBreak="0">
    <w:nsid w:val="7A0B4BBA"/>
    <w:multiLevelType w:val="hybridMultilevel"/>
    <w:tmpl w:val="D12E928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5" w15:restartNumberingAfterBreak="0">
    <w:nsid w:val="7C8430BC"/>
    <w:multiLevelType w:val="hybridMultilevel"/>
    <w:tmpl w:val="98AC92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6" w15:restartNumberingAfterBreak="0">
    <w:nsid w:val="7C843A39"/>
    <w:multiLevelType w:val="hybridMultilevel"/>
    <w:tmpl w:val="D2C694B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7" w15:restartNumberingAfterBreak="0">
    <w:nsid w:val="7D601343"/>
    <w:multiLevelType w:val="hybridMultilevel"/>
    <w:tmpl w:val="281C14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8" w15:restartNumberingAfterBreak="0">
    <w:nsid w:val="7DDF2485"/>
    <w:multiLevelType w:val="multilevel"/>
    <w:tmpl w:val="7A8CD40C"/>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9" w15:restartNumberingAfterBreak="0">
    <w:nsid w:val="7E6422A8"/>
    <w:multiLevelType w:val="hybridMultilevel"/>
    <w:tmpl w:val="607C072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0" w15:restartNumberingAfterBreak="0">
    <w:nsid w:val="7EA30972"/>
    <w:multiLevelType w:val="hybridMultilevel"/>
    <w:tmpl w:val="34588D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1" w15:restartNumberingAfterBreak="0">
    <w:nsid w:val="7EBE1924"/>
    <w:multiLevelType w:val="hybridMultilevel"/>
    <w:tmpl w:val="81065D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2" w15:restartNumberingAfterBreak="0">
    <w:nsid w:val="7FD55F25"/>
    <w:multiLevelType w:val="hybridMultilevel"/>
    <w:tmpl w:val="D102E2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3" w15:restartNumberingAfterBreak="0">
    <w:nsid w:val="7FDB4794"/>
    <w:multiLevelType w:val="hybridMultilevel"/>
    <w:tmpl w:val="6686B00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2068606356">
    <w:abstractNumId w:val="0"/>
  </w:num>
  <w:num w:numId="2" w16cid:durableId="1723943455">
    <w:abstractNumId w:val="1"/>
  </w:num>
  <w:num w:numId="3" w16cid:durableId="2094080081">
    <w:abstractNumId w:val="2"/>
  </w:num>
  <w:num w:numId="4" w16cid:durableId="1374115695">
    <w:abstractNumId w:val="3"/>
  </w:num>
  <w:num w:numId="5" w16cid:durableId="973755269">
    <w:abstractNumId w:val="4"/>
  </w:num>
  <w:num w:numId="6" w16cid:durableId="1405834847">
    <w:abstractNumId w:val="5"/>
  </w:num>
  <w:num w:numId="7" w16cid:durableId="1396708421">
    <w:abstractNumId w:val="6"/>
  </w:num>
  <w:num w:numId="8" w16cid:durableId="835995819">
    <w:abstractNumId w:val="7"/>
  </w:num>
  <w:num w:numId="9" w16cid:durableId="1330984037">
    <w:abstractNumId w:val="8"/>
  </w:num>
  <w:num w:numId="10" w16cid:durableId="423379877">
    <w:abstractNumId w:val="9"/>
  </w:num>
  <w:num w:numId="11" w16cid:durableId="7299858">
    <w:abstractNumId w:val="157"/>
  </w:num>
  <w:num w:numId="12" w16cid:durableId="1386754094">
    <w:abstractNumId w:val="131"/>
  </w:num>
  <w:num w:numId="13" w16cid:durableId="1609393241">
    <w:abstractNumId w:val="245"/>
  </w:num>
  <w:num w:numId="14" w16cid:durableId="887499400">
    <w:abstractNumId w:val="181"/>
  </w:num>
  <w:num w:numId="15" w16cid:durableId="1410733576">
    <w:abstractNumId w:val="113"/>
  </w:num>
  <w:num w:numId="16" w16cid:durableId="1517232863">
    <w:abstractNumId w:val="278"/>
  </w:num>
  <w:num w:numId="17" w16cid:durableId="1619877615">
    <w:abstractNumId w:val="126"/>
  </w:num>
  <w:num w:numId="18" w16cid:durableId="282620777">
    <w:abstractNumId w:val="154"/>
  </w:num>
  <w:num w:numId="19" w16cid:durableId="73749783">
    <w:abstractNumId w:val="212"/>
  </w:num>
  <w:num w:numId="20" w16cid:durableId="2012098927">
    <w:abstractNumId w:val="252"/>
  </w:num>
  <w:num w:numId="21" w16cid:durableId="444733599">
    <w:abstractNumId w:val="269"/>
  </w:num>
  <w:num w:numId="22" w16cid:durableId="982076556">
    <w:abstractNumId w:val="205"/>
  </w:num>
  <w:num w:numId="23" w16cid:durableId="1354070174">
    <w:abstractNumId w:val="87"/>
  </w:num>
  <w:num w:numId="24" w16cid:durableId="440998607">
    <w:abstractNumId w:val="79"/>
  </w:num>
  <w:num w:numId="25" w16cid:durableId="240452003">
    <w:abstractNumId w:val="263"/>
  </w:num>
  <w:num w:numId="26" w16cid:durableId="1821575276">
    <w:abstractNumId w:val="169"/>
  </w:num>
  <w:num w:numId="27" w16cid:durableId="597251383">
    <w:abstractNumId w:val="192"/>
  </w:num>
  <w:num w:numId="28" w16cid:durableId="235556132">
    <w:abstractNumId w:val="197"/>
  </w:num>
  <w:num w:numId="29" w16cid:durableId="616447487">
    <w:abstractNumId w:val="80"/>
  </w:num>
  <w:num w:numId="30" w16cid:durableId="231744133">
    <w:abstractNumId w:val="117"/>
  </w:num>
  <w:num w:numId="31" w16cid:durableId="1469663958">
    <w:abstractNumId w:val="233"/>
  </w:num>
  <w:num w:numId="32" w16cid:durableId="1152065609">
    <w:abstractNumId w:val="221"/>
  </w:num>
  <w:num w:numId="33" w16cid:durableId="1613199620">
    <w:abstractNumId w:val="241"/>
  </w:num>
  <w:num w:numId="34" w16cid:durableId="262616032">
    <w:abstractNumId w:val="231"/>
  </w:num>
  <w:num w:numId="35" w16cid:durableId="554974956">
    <w:abstractNumId w:val="260"/>
  </w:num>
  <w:num w:numId="36" w16cid:durableId="1683313363">
    <w:abstractNumId w:val="207"/>
  </w:num>
  <w:num w:numId="37" w16cid:durableId="1206017127">
    <w:abstractNumId w:val="124"/>
  </w:num>
  <w:num w:numId="38" w16cid:durableId="101465413">
    <w:abstractNumId w:val="180"/>
  </w:num>
  <w:num w:numId="39" w16cid:durableId="1019509944">
    <w:abstractNumId w:val="222"/>
  </w:num>
  <w:num w:numId="40" w16cid:durableId="1467892480">
    <w:abstractNumId w:val="119"/>
  </w:num>
  <w:num w:numId="41" w16cid:durableId="911045846">
    <w:abstractNumId w:val="217"/>
  </w:num>
  <w:num w:numId="42" w16cid:durableId="994181897">
    <w:abstractNumId w:val="202"/>
  </w:num>
  <w:num w:numId="43" w16cid:durableId="1475949047">
    <w:abstractNumId w:val="243"/>
  </w:num>
  <w:num w:numId="44" w16cid:durableId="270094966">
    <w:abstractNumId w:val="219"/>
  </w:num>
  <w:num w:numId="45" w16cid:durableId="762065973">
    <w:abstractNumId w:val="259"/>
  </w:num>
  <w:num w:numId="46" w16cid:durableId="1237520018">
    <w:abstractNumId w:val="142"/>
  </w:num>
  <w:num w:numId="47" w16cid:durableId="481624306">
    <w:abstractNumId w:val="111"/>
  </w:num>
  <w:num w:numId="48" w16cid:durableId="267808871">
    <w:abstractNumId w:val="81"/>
  </w:num>
  <w:num w:numId="49" w16cid:durableId="1420902742">
    <w:abstractNumId w:val="190"/>
  </w:num>
  <w:num w:numId="50" w16cid:durableId="1875118367">
    <w:abstractNumId w:val="246"/>
  </w:num>
  <w:num w:numId="51" w16cid:durableId="1236817252">
    <w:abstractNumId w:val="277"/>
  </w:num>
  <w:num w:numId="52" w16cid:durableId="400837075">
    <w:abstractNumId w:val="273"/>
  </w:num>
  <w:num w:numId="53" w16cid:durableId="468279499">
    <w:abstractNumId w:val="132"/>
  </w:num>
  <w:num w:numId="54" w16cid:durableId="1217817634">
    <w:abstractNumId w:val="270"/>
  </w:num>
  <w:num w:numId="55" w16cid:durableId="1008602051">
    <w:abstractNumId w:val="279"/>
  </w:num>
  <w:num w:numId="56" w16cid:durableId="1908682487">
    <w:abstractNumId w:val="123"/>
  </w:num>
  <w:num w:numId="57" w16cid:durableId="719019419">
    <w:abstractNumId w:val="106"/>
  </w:num>
  <w:num w:numId="58" w16cid:durableId="366878004">
    <w:abstractNumId w:val="249"/>
  </w:num>
  <w:num w:numId="59" w16cid:durableId="787045780">
    <w:abstractNumId w:val="283"/>
  </w:num>
  <w:num w:numId="60" w16cid:durableId="1883901048">
    <w:abstractNumId w:val="155"/>
  </w:num>
  <w:num w:numId="61" w16cid:durableId="1086220551">
    <w:abstractNumId w:val="129"/>
  </w:num>
  <w:num w:numId="62" w16cid:durableId="919170013">
    <w:abstractNumId w:val="115"/>
  </w:num>
  <w:num w:numId="63" w16cid:durableId="581916678">
    <w:abstractNumId w:val="141"/>
  </w:num>
  <w:num w:numId="64" w16cid:durableId="1075712361">
    <w:abstractNumId w:val="105"/>
  </w:num>
  <w:num w:numId="65" w16cid:durableId="1096898229">
    <w:abstractNumId w:val="211"/>
  </w:num>
  <w:num w:numId="66" w16cid:durableId="36861506">
    <w:abstractNumId w:val="90"/>
  </w:num>
  <w:num w:numId="67" w16cid:durableId="1397050600">
    <w:abstractNumId w:val="255"/>
  </w:num>
  <w:num w:numId="68" w16cid:durableId="1739278467">
    <w:abstractNumId w:val="139"/>
  </w:num>
  <w:num w:numId="69" w16cid:durableId="938610887">
    <w:abstractNumId w:val="97"/>
  </w:num>
  <w:num w:numId="70" w16cid:durableId="1064178251">
    <w:abstractNumId w:val="193"/>
  </w:num>
  <w:num w:numId="71" w16cid:durableId="1582254090">
    <w:abstractNumId w:val="156"/>
  </w:num>
  <w:num w:numId="72" w16cid:durableId="1765343826">
    <w:abstractNumId w:val="226"/>
  </w:num>
  <w:num w:numId="73" w16cid:durableId="272127787">
    <w:abstractNumId w:val="272"/>
  </w:num>
  <w:num w:numId="74" w16cid:durableId="681662068">
    <w:abstractNumId w:val="229"/>
  </w:num>
  <w:num w:numId="75" w16cid:durableId="1202136930">
    <w:abstractNumId w:val="145"/>
  </w:num>
  <w:num w:numId="76" w16cid:durableId="1066149973">
    <w:abstractNumId w:val="159"/>
  </w:num>
  <w:num w:numId="77" w16cid:durableId="570964259">
    <w:abstractNumId w:val="130"/>
  </w:num>
  <w:num w:numId="78" w16cid:durableId="1545602084">
    <w:abstractNumId w:val="250"/>
  </w:num>
  <w:num w:numId="79" w16cid:durableId="164631226">
    <w:abstractNumId w:val="282"/>
  </w:num>
  <w:num w:numId="80" w16cid:durableId="140853138">
    <w:abstractNumId w:val="178"/>
  </w:num>
  <w:num w:numId="81" w16cid:durableId="150365547">
    <w:abstractNumId w:val="176"/>
  </w:num>
  <w:num w:numId="82" w16cid:durableId="1571572003">
    <w:abstractNumId w:val="86"/>
  </w:num>
  <w:num w:numId="83" w16cid:durableId="1849757589">
    <w:abstractNumId w:val="112"/>
  </w:num>
  <w:num w:numId="84" w16cid:durableId="1989479209">
    <w:abstractNumId w:val="148"/>
  </w:num>
  <w:num w:numId="85" w16cid:durableId="1584952307">
    <w:abstractNumId w:val="242"/>
  </w:num>
  <w:num w:numId="86" w16cid:durableId="952174109">
    <w:abstractNumId w:val="101"/>
  </w:num>
  <w:num w:numId="87" w16cid:durableId="1202983181">
    <w:abstractNumId w:val="150"/>
  </w:num>
  <w:num w:numId="88" w16cid:durableId="787819083">
    <w:abstractNumId w:val="174"/>
  </w:num>
  <w:num w:numId="89" w16cid:durableId="575356993">
    <w:abstractNumId w:val="88"/>
  </w:num>
  <w:num w:numId="90" w16cid:durableId="697001029">
    <w:abstractNumId w:val="179"/>
  </w:num>
  <w:num w:numId="91" w16cid:durableId="299308362">
    <w:abstractNumId w:val="136"/>
  </w:num>
  <w:num w:numId="92" w16cid:durableId="1229724669">
    <w:abstractNumId w:val="96"/>
  </w:num>
  <w:num w:numId="93" w16cid:durableId="1779442596">
    <w:abstractNumId w:val="223"/>
  </w:num>
  <w:num w:numId="94" w16cid:durableId="442383489">
    <w:abstractNumId w:val="121"/>
  </w:num>
  <w:num w:numId="95" w16cid:durableId="2068800757">
    <w:abstractNumId w:val="204"/>
  </w:num>
  <w:num w:numId="96" w16cid:durableId="1358896288">
    <w:abstractNumId w:val="173"/>
  </w:num>
  <w:num w:numId="97" w16cid:durableId="352154881">
    <w:abstractNumId w:val="257"/>
  </w:num>
  <w:num w:numId="98" w16cid:durableId="810367874">
    <w:abstractNumId w:val="251"/>
  </w:num>
  <w:num w:numId="99" w16cid:durableId="544176394">
    <w:abstractNumId w:val="189"/>
  </w:num>
  <w:num w:numId="100" w16cid:durableId="1080907722">
    <w:abstractNumId w:val="185"/>
  </w:num>
  <w:num w:numId="101" w16cid:durableId="811755169">
    <w:abstractNumId w:val="228"/>
  </w:num>
  <w:num w:numId="102" w16cid:durableId="647442633">
    <w:abstractNumId w:val="208"/>
  </w:num>
  <w:num w:numId="103" w16cid:durableId="1342663791">
    <w:abstractNumId w:val="230"/>
  </w:num>
  <w:num w:numId="104" w16cid:durableId="955330183">
    <w:abstractNumId w:val="195"/>
  </w:num>
  <w:num w:numId="105" w16cid:durableId="1307663212">
    <w:abstractNumId w:val="92"/>
  </w:num>
  <w:num w:numId="106" w16cid:durableId="707949681">
    <w:abstractNumId w:val="103"/>
  </w:num>
  <w:num w:numId="107" w16cid:durableId="1804545470">
    <w:abstractNumId w:val="164"/>
  </w:num>
  <w:num w:numId="108" w16cid:durableId="766317322">
    <w:abstractNumId w:val="116"/>
  </w:num>
  <w:num w:numId="109" w16cid:durableId="1024867215">
    <w:abstractNumId w:val="266"/>
  </w:num>
  <w:num w:numId="110" w16cid:durableId="689065877">
    <w:abstractNumId w:val="247"/>
  </w:num>
  <w:num w:numId="111" w16cid:durableId="1366715534">
    <w:abstractNumId w:val="267"/>
  </w:num>
  <w:num w:numId="112" w16cid:durableId="550307134">
    <w:abstractNumId w:val="147"/>
  </w:num>
  <w:num w:numId="113" w16cid:durableId="214632064">
    <w:abstractNumId w:val="118"/>
  </w:num>
  <w:num w:numId="114" w16cid:durableId="1703434193">
    <w:abstractNumId w:val="234"/>
  </w:num>
  <w:num w:numId="115" w16cid:durableId="1626354153">
    <w:abstractNumId w:val="182"/>
  </w:num>
  <w:num w:numId="116" w16cid:durableId="1279265493">
    <w:abstractNumId w:val="138"/>
  </w:num>
  <w:num w:numId="117" w16cid:durableId="494732808">
    <w:abstractNumId w:val="114"/>
  </w:num>
  <w:num w:numId="118" w16cid:durableId="905728889">
    <w:abstractNumId w:val="262"/>
  </w:num>
  <w:num w:numId="119" w16cid:durableId="76902470">
    <w:abstractNumId w:val="227"/>
  </w:num>
  <w:num w:numId="120" w16cid:durableId="1991712665">
    <w:abstractNumId w:val="162"/>
  </w:num>
  <w:num w:numId="121" w16cid:durableId="673340474">
    <w:abstractNumId w:val="281"/>
  </w:num>
  <w:num w:numId="122" w16cid:durableId="62798578">
    <w:abstractNumId w:val="203"/>
  </w:num>
  <w:num w:numId="123" w16cid:durableId="980353784">
    <w:abstractNumId w:val="99"/>
  </w:num>
  <w:num w:numId="124" w16cid:durableId="2118675782">
    <w:abstractNumId w:val="215"/>
  </w:num>
  <w:num w:numId="125" w16cid:durableId="534003151">
    <w:abstractNumId w:val="261"/>
  </w:num>
  <w:num w:numId="126" w16cid:durableId="1536191119">
    <w:abstractNumId w:val="172"/>
  </w:num>
  <w:num w:numId="127" w16cid:durableId="531309527">
    <w:abstractNumId w:val="188"/>
  </w:num>
  <w:num w:numId="128" w16cid:durableId="1711876114">
    <w:abstractNumId w:val="201"/>
  </w:num>
  <w:num w:numId="129" w16cid:durableId="347802008">
    <w:abstractNumId w:val="239"/>
  </w:num>
  <w:num w:numId="130" w16cid:durableId="947545245">
    <w:abstractNumId w:val="216"/>
  </w:num>
  <w:num w:numId="131" w16cid:durableId="1475104828">
    <w:abstractNumId w:val="268"/>
  </w:num>
  <w:num w:numId="132" w16cid:durableId="1007058444">
    <w:abstractNumId w:val="274"/>
  </w:num>
  <w:num w:numId="133" w16cid:durableId="422410097">
    <w:abstractNumId w:val="146"/>
  </w:num>
  <w:num w:numId="134" w16cid:durableId="1507088218">
    <w:abstractNumId w:val="98"/>
  </w:num>
  <w:num w:numId="135" w16cid:durableId="1178958434">
    <w:abstractNumId w:val="265"/>
  </w:num>
  <w:num w:numId="136" w16cid:durableId="293563873">
    <w:abstractNumId w:val="163"/>
  </w:num>
  <w:num w:numId="137" w16cid:durableId="1698264925">
    <w:abstractNumId w:val="237"/>
  </w:num>
  <w:num w:numId="138" w16cid:durableId="1187792199">
    <w:abstractNumId w:val="149"/>
  </w:num>
  <w:num w:numId="139" w16cid:durableId="989284066">
    <w:abstractNumId w:val="128"/>
  </w:num>
  <w:num w:numId="140" w16cid:durableId="266812766">
    <w:abstractNumId w:val="209"/>
  </w:num>
  <w:num w:numId="141" w16cid:durableId="268390099">
    <w:abstractNumId w:val="220"/>
  </w:num>
  <w:num w:numId="142" w16cid:durableId="1955821760">
    <w:abstractNumId w:val="120"/>
  </w:num>
  <w:num w:numId="143" w16cid:durableId="2013868261">
    <w:abstractNumId w:val="95"/>
  </w:num>
  <w:num w:numId="144" w16cid:durableId="790631799">
    <w:abstractNumId w:val="200"/>
  </w:num>
  <w:num w:numId="145" w16cid:durableId="1387602217">
    <w:abstractNumId w:val="258"/>
  </w:num>
  <w:num w:numId="146" w16cid:durableId="249242819">
    <w:abstractNumId w:val="151"/>
  </w:num>
  <w:num w:numId="147" w16cid:durableId="1215199512">
    <w:abstractNumId w:val="171"/>
  </w:num>
  <w:num w:numId="148" w16cid:durableId="1838493949">
    <w:abstractNumId w:val="143"/>
  </w:num>
  <w:num w:numId="149" w16cid:durableId="1865047177">
    <w:abstractNumId w:val="276"/>
  </w:num>
  <w:num w:numId="150" w16cid:durableId="1261643148">
    <w:abstractNumId w:val="170"/>
  </w:num>
  <w:num w:numId="151" w16cid:durableId="1395470004">
    <w:abstractNumId w:val="102"/>
  </w:num>
  <w:num w:numId="152" w16cid:durableId="374737682">
    <w:abstractNumId w:val="122"/>
  </w:num>
  <w:num w:numId="153" w16cid:durableId="2020886444">
    <w:abstractNumId w:val="253"/>
  </w:num>
  <w:num w:numId="154" w16cid:durableId="1632783855">
    <w:abstractNumId w:val="256"/>
  </w:num>
  <w:num w:numId="155" w16cid:durableId="1905840">
    <w:abstractNumId w:val="254"/>
  </w:num>
  <w:num w:numId="156" w16cid:durableId="2117552147">
    <w:abstractNumId w:val="175"/>
  </w:num>
  <w:num w:numId="157" w16cid:durableId="327640512">
    <w:abstractNumId w:val="93"/>
  </w:num>
  <w:num w:numId="158" w16cid:durableId="1110660965">
    <w:abstractNumId w:val="236"/>
  </w:num>
  <w:num w:numId="159" w16cid:durableId="849373135">
    <w:abstractNumId w:val="161"/>
  </w:num>
  <w:num w:numId="160" w16cid:durableId="1104615174">
    <w:abstractNumId w:val="238"/>
  </w:num>
  <w:num w:numId="161" w16cid:durableId="1683823601">
    <w:abstractNumId w:val="144"/>
  </w:num>
  <w:num w:numId="162" w16cid:durableId="175194498">
    <w:abstractNumId w:val="184"/>
  </w:num>
  <w:num w:numId="163" w16cid:durableId="1143617464">
    <w:abstractNumId w:val="218"/>
  </w:num>
  <w:num w:numId="164" w16cid:durableId="1368213267">
    <w:abstractNumId w:val="232"/>
  </w:num>
  <w:num w:numId="165" w16cid:durableId="1675302964">
    <w:abstractNumId w:val="183"/>
  </w:num>
  <w:num w:numId="166" w16cid:durableId="673151113">
    <w:abstractNumId w:val="280"/>
  </w:num>
  <w:num w:numId="167" w16cid:durableId="890458205">
    <w:abstractNumId w:val="108"/>
  </w:num>
  <w:num w:numId="168" w16cid:durableId="958560657">
    <w:abstractNumId w:val="244"/>
  </w:num>
  <w:num w:numId="169" w16cid:durableId="2072775163">
    <w:abstractNumId w:val="158"/>
  </w:num>
  <w:num w:numId="170" w16cid:durableId="575019418">
    <w:abstractNumId w:val="153"/>
  </w:num>
  <w:num w:numId="171" w16cid:durableId="2003771340">
    <w:abstractNumId w:val="137"/>
  </w:num>
  <w:num w:numId="172" w16cid:durableId="1971864665">
    <w:abstractNumId w:val="78"/>
  </w:num>
  <w:num w:numId="173" w16cid:durableId="2124491394">
    <w:abstractNumId w:val="135"/>
  </w:num>
  <w:num w:numId="174" w16cid:durableId="1783962391">
    <w:abstractNumId w:val="224"/>
  </w:num>
  <w:num w:numId="175" w16cid:durableId="1398358108">
    <w:abstractNumId w:val="89"/>
  </w:num>
  <w:num w:numId="176" w16cid:durableId="638221373">
    <w:abstractNumId w:val="100"/>
  </w:num>
  <w:num w:numId="177" w16cid:durableId="358048027">
    <w:abstractNumId w:val="165"/>
  </w:num>
  <w:num w:numId="178" w16cid:durableId="1185171689">
    <w:abstractNumId w:val="225"/>
  </w:num>
  <w:num w:numId="179" w16cid:durableId="1955746872">
    <w:abstractNumId w:val="84"/>
  </w:num>
  <w:num w:numId="180" w16cid:durableId="43409221">
    <w:abstractNumId w:val="213"/>
  </w:num>
  <w:num w:numId="181" w16cid:durableId="1992364567">
    <w:abstractNumId w:val="140"/>
  </w:num>
  <w:num w:numId="182" w16cid:durableId="1163084777">
    <w:abstractNumId w:val="127"/>
  </w:num>
  <w:num w:numId="183" w16cid:durableId="1964115198">
    <w:abstractNumId w:val="187"/>
  </w:num>
  <w:num w:numId="184" w16cid:durableId="15544559">
    <w:abstractNumId w:val="235"/>
  </w:num>
  <w:num w:numId="185" w16cid:durableId="878324334">
    <w:abstractNumId w:val="168"/>
  </w:num>
  <w:num w:numId="186" w16cid:durableId="215506375">
    <w:abstractNumId w:val="248"/>
  </w:num>
  <w:num w:numId="187" w16cid:durableId="362287447">
    <w:abstractNumId w:val="210"/>
  </w:num>
  <w:num w:numId="188" w16cid:durableId="176432157">
    <w:abstractNumId w:val="240"/>
  </w:num>
  <w:num w:numId="189" w16cid:durableId="1173762733">
    <w:abstractNumId w:val="83"/>
  </w:num>
  <w:num w:numId="190" w16cid:durableId="1721398239">
    <w:abstractNumId w:val="194"/>
  </w:num>
  <w:num w:numId="191" w16cid:durableId="1898736333">
    <w:abstractNumId w:val="110"/>
  </w:num>
  <w:num w:numId="192" w16cid:durableId="1654599369">
    <w:abstractNumId w:val="275"/>
  </w:num>
  <w:num w:numId="193" w16cid:durableId="1772579612">
    <w:abstractNumId w:val="214"/>
  </w:num>
  <w:num w:numId="194" w16cid:durableId="1712534052">
    <w:abstractNumId w:val="125"/>
  </w:num>
  <w:num w:numId="195" w16cid:durableId="384643630">
    <w:abstractNumId w:val="82"/>
  </w:num>
  <w:num w:numId="196" w16cid:durableId="968900548">
    <w:abstractNumId w:val="109"/>
  </w:num>
  <w:num w:numId="197" w16cid:durableId="1000696784">
    <w:abstractNumId w:val="191"/>
  </w:num>
  <w:num w:numId="198" w16cid:durableId="1414009837">
    <w:abstractNumId w:val="166"/>
  </w:num>
  <w:num w:numId="199" w16cid:durableId="251428842">
    <w:abstractNumId w:val="94"/>
  </w:num>
  <w:num w:numId="200" w16cid:durableId="1312294222">
    <w:abstractNumId w:val="107"/>
  </w:num>
  <w:num w:numId="201" w16cid:durableId="964895330">
    <w:abstractNumId w:val="134"/>
  </w:num>
  <w:num w:numId="202" w16cid:durableId="759449302">
    <w:abstractNumId w:val="167"/>
  </w:num>
  <w:num w:numId="203" w16cid:durableId="1184980007">
    <w:abstractNumId w:val="133"/>
  </w:num>
  <w:num w:numId="204" w16cid:durableId="1077442106">
    <w:abstractNumId w:val="198"/>
  </w:num>
  <w:num w:numId="205" w16cid:durableId="193809634">
    <w:abstractNumId w:val="85"/>
  </w:num>
  <w:num w:numId="206" w16cid:durableId="380518563">
    <w:abstractNumId w:val="264"/>
  </w:num>
  <w:num w:numId="207" w16cid:durableId="963389957">
    <w:abstractNumId w:val="199"/>
  </w:num>
  <w:num w:numId="208" w16cid:durableId="720176825">
    <w:abstractNumId w:val="271"/>
  </w:num>
  <w:num w:numId="209" w16cid:durableId="1859083224">
    <w:abstractNumId w:val="177"/>
  </w:num>
  <w:num w:numId="210" w16cid:durableId="124543370">
    <w:abstractNumId w:val="104"/>
  </w:num>
  <w:num w:numId="211" w16cid:durableId="408844179">
    <w:abstractNumId w:val="152"/>
  </w:num>
  <w:num w:numId="212" w16cid:durableId="1220167619">
    <w:abstractNumId w:val="196"/>
  </w:num>
  <w:num w:numId="213" w16cid:durableId="1568227357">
    <w:abstractNumId w:val="206"/>
  </w:num>
  <w:num w:numId="214" w16cid:durableId="1893299389">
    <w:abstractNumId w:val="186"/>
  </w:num>
  <w:num w:numId="215" w16cid:durableId="1975789237">
    <w:abstractNumId w:val="160"/>
  </w:num>
  <w:num w:numId="216" w16cid:durableId="1301183809">
    <w:abstractNumId w:val="91"/>
  </w:num>
  <w:numIdMacAtCleanup w:val="2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olo Ballanti">
    <w15:presenceInfo w15:providerId="Windows Live" w15:userId="efd6387b9132a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91"/>
    <w:rsid w:val="000142FF"/>
    <w:rsid w:val="0004434B"/>
    <w:rsid w:val="0004568D"/>
    <w:rsid w:val="00047DA7"/>
    <w:rsid w:val="000503FE"/>
    <w:rsid w:val="00070946"/>
    <w:rsid w:val="00077E25"/>
    <w:rsid w:val="000804BF"/>
    <w:rsid w:val="00082078"/>
    <w:rsid w:val="000A4C54"/>
    <w:rsid w:val="000E19A4"/>
    <w:rsid w:val="000F13BA"/>
    <w:rsid w:val="001066BE"/>
    <w:rsid w:val="001105A9"/>
    <w:rsid w:val="00114230"/>
    <w:rsid w:val="00130676"/>
    <w:rsid w:val="0016478B"/>
    <w:rsid w:val="00166CCD"/>
    <w:rsid w:val="00170A6A"/>
    <w:rsid w:val="00186AA5"/>
    <w:rsid w:val="00190624"/>
    <w:rsid w:val="00196229"/>
    <w:rsid w:val="001E2595"/>
    <w:rsid w:val="002136CC"/>
    <w:rsid w:val="00233B98"/>
    <w:rsid w:val="002411E3"/>
    <w:rsid w:val="002558B3"/>
    <w:rsid w:val="00265CE9"/>
    <w:rsid w:val="00281585"/>
    <w:rsid w:val="0029709E"/>
    <w:rsid w:val="002C4764"/>
    <w:rsid w:val="002E1595"/>
    <w:rsid w:val="003004C4"/>
    <w:rsid w:val="00347AC8"/>
    <w:rsid w:val="003509BD"/>
    <w:rsid w:val="00351860"/>
    <w:rsid w:val="0036557C"/>
    <w:rsid w:val="00380F17"/>
    <w:rsid w:val="003A2907"/>
    <w:rsid w:val="003C095D"/>
    <w:rsid w:val="003C39B1"/>
    <w:rsid w:val="003C7D79"/>
    <w:rsid w:val="003D003C"/>
    <w:rsid w:val="00403D94"/>
    <w:rsid w:val="00404793"/>
    <w:rsid w:val="00407E84"/>
    <w:rsid w:val="00411768"/>
    <w:rsid w:val="004131B3"/>
    <w:rsid w:val="00416A0F"/>
    <w:rsid w:val="00464A63"/>
    <w:rsid w:val="004727F8"/>
    <w:rsid w:val="0048491D"/>
    <w:rsid w:val="004B3C8B"/>
    <w:rsid w:val="0051729A"/>
    <w:rsid w:val="0056334E"/>
    <w:rsid w:val="00586660"/>
    <w:rsid w:val="00591A2A"/>
    <w:rsid w:val="005A7AC3"/>
    <w:rsid w:val="005D73DE"/>
    <w:rsid w:val="005E2DB1"/>
    <w:rsid w:val="005E67F9"/>
    <w:rsid w:val="0061774B"/>
    <w:rsid w:val="00634069"/>
    <w:rsid w:val="0067392E"/>
    <w:rsid w:val="00682AE2"/>
    <w:rsid w:val="00687156"/>
    <w:rsid w:val="00691501"/>
    <w:rsid w:val="006B1970"/>
    <w:rsid w:val="006E2165"/>
    <w:rsid w:val="007470FE"/>
    <w:rsid w:val="00760789"/>
    <w:rsid w:val="00781C56"/>
    <w:rsid w:val="00797E5C"/>
    <w:rsid w:val="007E25CC"/>
    <w:rsid w:val="007F373E"/>
    <w:rsid w:val="007F40D8"/>
    <w:rsid w:val="00805A42"/>
    <w:rsid w:val="00807075"/>
    <w:rsid w:val="00811B59"/>
    <w:rsid w:val="00826F7C"/>
    <w:rsid w:val="0083367E"/>
    <w:rsid w:val="00837BA2"/>
    <w:rsid w:val="00860832"/>
    <w:rsid w:val="008673AD"/>
    <w:rsid w:val="00871817"/>
    <w:rsid w:val="00890E71"/>
    <w:rsid w:val="008C0317"/>
    <w:rsid w:val="008F2734"/>
    <w:rsid w:val="008F2868"/>
    <w:rsid w:val="00901851"/>
    <w:rsid w:val="009123FD"/>
    <w:rsid w:val="00917C57"/>
    <w:rsid w:val="00985370"/>
    <w:rsid w:val="00997657"/>
    <w:rsid w:val="009A4FF5"/>
    <w:rsid w:val="009B3214"/>
    <w:rsid w:val="009C11E3"/>
    <w:rsid w:val="009D0E31"/>
    <w:rsid w:val="009D1C9B"/>
    <w:rsid w:val="009D2EA2"/>
    <w:rsid w:val="009E38EF"/>
    <w:rsid w:val="009E4A78"/>
    <w:rsid w:val="009E771B"/>
    <w:rsid w:val="00A357C6"/>
    <w:rsid w:val="00A36537"/>
    <w:rsid w:val="00A46027"/>
    <w:rsid w:val="00A650BD"/>
    <w:rsid w:val="00A70307"/>
    <w:rsid w:val="00A71C26"/>
    <w:rsid w:val="00A722DB"/>
    <w:rsid w:val="00A82603"/>
    <w:rsid w:val="00AB649D"/>
    <w:rsid w:val="00AD0331"/>
    <w:rsid w:val="00AD2C2F"/>
    <w:rsid w:val="00B01240"/>
    <w:rsid w:val="00B131FE"/>
    <w:rsid w:val="00B44E05"/>
    <w:rsid w:val="00BA638F"/>
    <w:rsid w:val="00BE2707"/>
    <w:rsid w:val="00C051EC"/>
    <w:rsid w:val="00C13356"/>
    <w:rsid w:val="00C2257C"/>
    <w:rsid w:val="00C42178"/>
    <w:rsid w:val="00C42B05"/>
    <w:rsid w:val="00C600E5"/>
    <w:rsid w:val="00C74627"/>
    <w:rsid w:val="00C95E9F"/>
    <w:rsid w:val="00CB351E"/>
    <w:rsid w:val="00CB7DD4"/>
    <w:rsid w:val="00CC00D4"/>
    <w:rsid w:val="00D022E3"/>
    <w:rsid w:val="00D044A9"/>
    <w:rsid w:val="00D316C9"/>
    <w:rsid w:val="00D96F46"/>
    <w:rsid w:val="00DB3A91"/>
    <w:rsid w:val="00DF2BF0"/>
    <w:rsid w:val="00E0168F"/>
    <w:rsid w:val="00E248EF"/>
    <w:rsid w:val="00E34D33"/>
    <w:rsid w:val="00E3526A"/>
    <w:rsid w:val="00E63D22"/>
    <w:rsid w:val="00E71731"/>
    <w:rsid w:val="00E7449A"/>
    <w:rsid w:val="00E74A8D"/>
    <w:rsid w:val="00E76FC2"/>
    <w:rsid w:val="00E930A9"/>
    <w:rsid w:val="00EA05E7"/>
    <w:rsid w:val="00EA19FF"/>
    <w:rsid w:val="00EA4CF1"/>
    <w:rsid w:val="00EE2292"/>
    <w:rsid w:val="00EE3781"/>
    <w:rsid w:val="00F14C7A"/>
    <w:rsid w:val="00F14C98"/>
    <w:rsid w:val="00F27B77"/>
    <w:rsid w:val="00F32F1F"/>
    <w:rsid w:val="00F40AD1"/>
    <w:rsid w:val="00F46A02"/>
    <w:rsid w:val="00F54AEE"/>
    <w:rsid w:val="00F64729"/>
    <w:rsid w:val="00F725CB"/>
    <w:rsid w:val="00F87B39"/>
    <w:rsid w:val="00FA5439"/>
    <w:rsid w:val="00FB14E6"/>
    <w:rsid w:val="00FE3CBB"/>
    <w:rsid w:val="00FF26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oNotEmbedSmartTags/>
  <w:decimalSymbol w:val=","/>
  <w:listSeparator w:val=";"/>
  <w14:docId w14:val="713B47C0"/>
  <w15:chartTrackingRefBased/>
  <w15:docId w15:val="{8611BFF6-4E9F-49DF-BDD0-55F01BD1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360" w:lineRule="auto"/>
      <w:jc w:val="both"/>
    </w:pPr>
    <w:rPr>
      <w:rFonts w:ascii="Tahoma" w:hAnsi="Tahoma" w:cs="Calibri"/>
      <w:szCs w:val="22"/>
      <w:lang w:eastAsia="zh-CN"/>
    </w:rPr>
  </w:style>
  <w:style w:type="paragraph" w:styleId="Titolo1">
    <w:name w:val="heading 1"/>
    <w:basedOn w:val="Titolo40"/>
    <w:next w:val="Corpotesto"/>
    <w:uiPriority w:val="9"/>
    <w:qFormat/>
    <w:rsid w:val="00BA638F"/>
    <w:pPr>
      <w:keepNext/>
      <w:keepLines/>
      <w:numPr>
        <w:numId w:val="1"/>
      </w:numPr>
      <w:spacing w:after="0" w:line="240" w:lineRule="auto"/>
      <w:outlineLvl w:val="0"/>
    </w:pPr>
    <w:rPr>
      <w:rFonts w:ascii="Tahoma" w:hAnsi="Tahoma" w:cs="Tahoma"/>
      <w:szCs w:val="28"/>
    </w:rPr>
  </w:style>
  <w:style w:type="paragraph" w:styleId="Titolo2">
    <w:name w:val="heading 2"/>
    <w:basedOn w:val="Sottotitolo"/>
    <w:next w:val="Corpotesto"/>
    <w:uiPriority w:val="9"/>
    <w:qFormat/>
    <w:rsid w:val="00634069"/>
    <w:pPr>
      <w:outlineLvl w:val="1"/>
    </w:pPr>
    <w:rPr>
      <w:color w:val="000000"/>
    </w:rPr>
  </w:style>
  <w:style w:type="paragraph" w:styleId="Titolo3">
    <w:name w:val="heading 3"/>
    <w:basedOn w:val="Titolo40"/>
    <w:next w:val="Corpotesto"/>
    <w:uiPriority w:val="9"/>
    <w:qFormat/>
    <w:rsid w:val="00634069"/>
    <w:pPr>
      <w:keepNext/>
      <w:keepLines/>
      <w:numPr>
        <w:ilvl w:val="2"/>
        <w:numId w:val="1"/>
      </w:numPr>
      <w:spacing w:before="0" w:after="200"/>
      <w:jc w:val="left"/>
      <w:outlineLvl w:val="2"/>
    </w:pPr>
    <w:rPr>
      <w:rFonts w:ascii="Tahoma" w:hAnsi="Tahoma" w:cs="Cambria"/>
      <w:i/>
      <w:kern w:val="0"/>
      <w:sz w:val="22"/>
      <w:u w:val="single"/>
    </w:rPr>
  </w:style>
  <w:style w:type="paragraph" w:styleId="Titolo4">
    <w:name w:val="heading 4"/>
    <w:basedOn w:val="Intestazione1"/>
    <w:next w:val="Corpotesto"/>
    <w:qFormat/>
    <w:pPr>
      <w:keepLines/>
      <w:numPr>
        <w:ilvl w:val="3"/>
        <w:numId w:val="1"/>
      </w:numPr>
      <w:spacing w:before="200" w:after="0"/>
      <w:outlineLvl w:val="3"/>
    </w:pPr>
    <w:rPr>
      <w:rFonts w:ascii="Cambria" w:hAnsi="Cambria" w:cs="Cambria"/>
      <w:b/>
      <w:bCs/>
      <w:i/>
      <w:iCs/>
      <w:color w:val="2DA2BF"/>
    </w:rPr>
  </w:style>
  <w:style w:type="paragraph" w:styleId="Titolo5">
    <w:name w:val="heading 5"/>
    <w:basedOn w:val="Normale"/>
    <w:next w:val="Corpotesto"/>
    <w:qFormat/>
    <w:pPr>
      <w:keepLines/>
      <w:numPr>
        <w:ilvl w:val="4"/>
        <w:numId w:val="1"/>
      </w:numPr>
      <w:spacing w:before="200" w:after="0"/>
      <w:outlineLvl w:val="4"/>
    </w:pPr>
    <w:rPr>
      <w:rFonts w:ascii="Cambria" w:hAnsi="Cambria" w:cs="Cambria"/>
      <w:color w:val="16505E"/>
    </w:rPr>
  </w:style>
  <w:style w:type="paragraph" w:styleId="Titolo6">
    <w:name w:val="heading 6"/>
    <w:basedOn w:val="Normale"/>
    <w:next w:val="Normale"/>
    <w:qFormat/>
    <w:pPr>
      <w:keepNext/>
      <w:keepLines/>
      <w:numPr>
        <w:ilvl w:val="5"/>
        <w:numId w:val="1"/>
      </w:numPr>
      <w:spacing w:before="200" w:after="0"/>
      <w:outlineLvl w:val="5"/>
    </w:pPr>
    <w:rPr>
      <w:rFonts w:ascii="Cambria" w:hAnsi="Cambria" w:cs="Cambria"/>
      <w:i/>
      <w:iCs/>
      <w:color w:val="16505E"/>
    </w:rPr>
  </w:style>
  <w:style w:type="paragraph" w:styleId="Titolo7">
    <w:name w:val="heading 7"/>
    <w:basedOn w:val="Normale"/>
    <w:next w:val="Normale"/>
    <w:qFormat/>
    <w:pPr>
      <w:keepNext/>
      <w:keepLines/>
      <w:numPr>
        <w:ilvl w:val="6"/>
        <w:numId w:val="1"/>
      </w:numPr>
      <w:spacing w:before="200" w:after="0"/>
      <w:outlineLvl w:val="6"/>
    </w:pPr>
    <w:rPr>
      <w:rFonts w:ascii="Cambria" w:hAnsi="Cambria" w:cs="Cambria"/>
      <w:i/>
      <w:iCs/>
      <w:color w:val="404040"/>
    </w:rPr>
  </w:style>
  <w:style w:type="paragraph" w:styleId="Titolo8">
    <w:name w:val="heading 8"/>
    <w:basedOn w:val="Normale"/>
    <w:next w:val="Normale"/>
    <w:qFormat/>
    <w:pPr>
      <w:keepNext/>
      <w:keepLines/>
      <w:numPr>
        <w:ilvl w:val="7"/>
        <w:numId w:val="1"/>
      </w:numPr>
      <w:spacing w:before="200" w:after="0"/>
      <w:outlineLvl w:val="7"/>
    </w:pPr>
    <w:rPr>
      <w:rFonts w:ascii="Cambria" w:hAnsi="Cambria" w:cs="Cambria"/>
      <w:color w:val="2DA2BF"/>
      <w:szCs w:val="20"/>
    </w:rPr>
  </w:style>
  <w:style w:type="paragraph" w:styleId="Titolo9">
    <w:name w:val="heading 9"/>
    <w:basedOn w:val="Normale"/>
    <w:next w:val="Normale"/>
    <w:qFormat/>
    <w:pPr>
      <w:keepNext/>
      <w:keepLines/>
      <w:numPr>
        <w:ilvl w:val="8"/>
        <w:numId w:val="1"/>
      </w:numPr>
      <w:spacing w:before="200" w:after="0"/>
      <w:outlineLvl w:val="8"/>
    </w:pPr>
    <w:rPr>
      <w:rFonts w:ascii="Cambria" w:hAnsi="Cambria" w:cs="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cs="Tahoma"/>
      <w:b/>
      <w:sz w:val="24"/>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caps w:val="0"/>
      <w:smallCaps w:val="0"/>
      <w:color w:val="000000"/>
      <w:sz w:val="20"/>
      <w:szCs w:val="20"/>
      <w:lang w:val="it-IT"/>
    </w:rPr>
  </w:style>
  <w:style w:type="character" w:customStyle="1" w:styleId="WW8Num3z0">
    <w:name w:val="WW8Num3z0"/>
    <w:rPr>
      <w:rFonts w:ascii="Bookman Old Style" w:hAnsi="Bookman Old Style" w:cs="OpenSymbol"/>
      <w:caps w:val="0"/>
      <w:smallCaps w:val="0"/>
      <w:sz w:val="20"/>
      <w:szCs w:val="20"/>
    </w:rPr>
  </w:style>
  <w:style w:type="character" w:customStyle="1" w:styleId="WW8Num4z0">
    <w:name w:val="WW8Num4z0"/>
    <w:rPr>
      <w:rFonts w:ascii="Times New Roman" w:hAnsi="Times New Roman" w:cs="OpenSymbol"/>
      <w:caps w:val="0"/>
      <w:smallCaps w:val="0"/>
      <w:szCs w:val="20"/>
      <w:lang w:val="it-IT"/>
    </w:rPr>
  </w:style>
  <w:style w:type="character" w:customStyle="1" w:styleId="WW8Num4z1">
    <w:name w:val="WW8Num4z1"/>
    <w:rPr>
      <w:rFonts w:ascii="Symbol" w:hAnsi="Symbol" w:cs="OpenSymbol"/>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Bookman Old Style" w:hAnsi="Bookman Old Style" w:cs="OpenSymbol"/>
      <w:caps w:val="0"/>
      <w:smallCaps w:val="0"/>
      <w:szCs w:val="20"/>
    </w:rPr>
  </w:style>
  <w:style w:type="character" w:customStyle="1" w:styleId="WW8Num5z1">
    <w:name w:val="WW8Num5z1"/>
    <w:rPr>
      <w:rFonts w:ascii="Courier New" w:hAnsi="Courier New" w:cs="Open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OpenSymbol"/>
      <w:caps w:val="0"/>
      <w:smallCaps w:val="0"/>
      <w:szCs w:val="20"/>
      <w:lang w:val="it-IT"/>
    </w:rPr>
  </w:style>
  <w:style w:type="character" w:customStyle="1" w:styleId="WW8Num7z0">
    <w:name w:val="WW8Num7z0"/>
    <w:rPr>
      <w:rFonts w:ascii="Symbol" w:hAnsi="Symbol" w:cs="OpenSymbol"/>
      <w:caps w:val="0"/>
      <w:smallCaps w:val="0"/>
      <w:lang w:val="it-IT"/>
    </w:rPr>
  </w:style>
  <w:style w:type="character" w:customStyle="1" w:styleId="WW8Num8z0">
    <w:name w:val="WW8Num8z0"/>
    <w:rPr>
      <w:rFonts w:ascii="Symbol" w:hAnsi="Symbol" w:cs="OpenSymbol"/>
      <w:caps w:val="0"/>
      <w:smallCaps w:val="0"/>
      <w:sz w:val="20"/>
      <w:szCs w:val="20"/>
      <w:lang w:val="it-IT"/>
    </w:rPr>
  </w:style>
  <w:style w:type="character" w:customStyle="1" w:styleId="WW8Num8z2">
    <w:name w:val="WW8Num8z2"/>
    <w:rPr>
      <w:rFonts w:ascii="Wingdings" w:hAnsi="Wingdings" w:cs="Wingdings" w:hint="default"/>
      <w:sz w:val="20"/>
    </w:rPr>
  </w:style>
  <w:style w:type="character" w:customStyle="1" w:styleId="WW8Num9z0">
    <w:name w:val="WW8Num9z0"/>
    <w:rPr>
      <w:rFonts w:ascii="Symbol" w:hAnsi="Symbol" w:cs="OpenSymbol"/>
      <w:caps w:val="0"/>
      <w:smallCaps w:val="0"/>
      <w:lang w:val="it-IT"/>
    </w:rPr>
  </w:style>
  <w:style w:type="character" w:customStyle="1" w:styleId="WW8Num9z1">
    <w:name w:val="WW8Num9z1"/>
    <w:rPr>
      <w:rFonts w:ascii="Courier New" w:hAnsi="Courier New" w:cs="OpenSymbol"/>
    </w:rPr>
  </w:style>
  <w:style w:type="character" w:customStyle="1" w:styleId="WW8Num9z2">
    <w:name w:val="WW8Num9z2"/>
    <w:rPr>
      <w:rFonts w:ascii="Wingdings" w:hAnsi="Wingdings" w:cs="Wingdings" w:hint="default"/>
      <w:sz w:val="20"/>
    </w:rPr>
  </w:style>
  <w:style w:type="character" w:customStyle="1" w:styleId="WW8Num10z0">
    <w:name w:val="WW8Num10z0"/>
    <w:rPr>
      <w:rFonts w:ascii="Symbol" w:hAnsi="Symbol" w:cs="OpenSymbol"/>
      <w:caps w:val="0"/>
      <w:smallCaps w:val="0"/>
      <w:sz w:val="20"/>
      <w:szCs w:val="20"/>
    </w:rPr>
  </w:style>
  <w:style w:type="character" w:customStyle="1" w:styleId="WW8Num10z2">
    <w:name w:val="WW8Num10z2"/>
    <w:rPr>
      <w:rFonts w:ascii="Wingdings" w:hAnsi="Wingdings" w:cs="Wingdings" w:hint="default"/>
      <w:sz w:val="20"/>
    </w:rPr>
  </w:style>
  <w:style w:type="character" w:customStyle="1" w:styleId="WW8Num11z0">
    <w:name w:val="WW8Num11z0"/>
    <w:rPr>
      <w:rFonts w:ascii="Symbol" w:hAnsi="Symbol" w:cs="Symbol" w:hint="default"/>
      <w:sz w:val="20"/>
      <w:szCs w:val="32"/>
    </w:rPr>
  </w:style>
  <w:style w:type="character" w:customStyle="1" w:styleId="WW8Num12z0">
    <w:name w:val="WW8Num12z0"/>
    <w:rPr>
      <w:rFonts w:ascii="Symbol" w:hAnsi="Symbol" w:cs="Symbol" w:hint="default"/>
      <w:sz w:val="20"/>
      <w:szCs w:val="32"/>
    </w:rPr>
  </w:style>
  <w:style w:type="character" w:customStyle="1" w:styleId="WW8Num13z0">
    <w:name w:val="WW8Num13z0"/>
    <w:rPr>
      <w:rFonts w:cs="Tahoma"/>
      <w:caps w:val="0"/>
      <w:smallCaps w:val="0"/>
      <w:color w:val="000000"/>
      <w:szCs w:val="20"/>
    </w:rPr>
  </w:style>
  <w:style w:type="character" w:customStyle="1" w:styleId="WW8Num14z0">
    <w:name w:val="WW8Num14z0"/>
    <w:rPr>
      <w:rFonts w:ascii="Symbol" w:hAnsi="Symbol" w:cs="Symbol" w:hint="default"/>
      <w:caps w:val="0"/>
      <w:smallCaps w:val="0"/>
      <w:color w:val="000000"/>
      <w:sz w:val="20"/>
      <w:szCs w:val="20"/>
      <w:lang w:val="it-IT"/>
    </w:rPr>
  </w:style>
  <w:style w:type="character" w:customStyle="1" w:styleId="WW8Num14z1">
    <w:name w:val="WW8Num14z1"/>
    <w:rPr>
      <w:rFonts w:ascii="OpenSymbol" w:hAnsi="OpenSymbol" w:cs="OpenSymbol"/>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rPr>
      <w:rFonts w:ascii="Courier New" w:hAnsi="Courier New" w:cs="Courier New" w:hint="default"/>
    </w:rPr>
  </w:style>
  <w:style w:type="character" w:customStyle="1" w:styleId="WW8Num15z0">
    <w:name w:val="WW8Num15z0"/>
    <w:rPr>
      <w:rFonts w:ascii="Tahoma" w:hAnsi="Tahoma" w:cs="OpenSymbol" w:hint="default"/>
      <w:sz w:val="20"/>
      <w:szCs w:val="20"/>
      <w:lang w:val="it-IT"/>
    </w:rPr>
  </w:style>
  <w:style w:type="character" w:customStyle="1" w:styleId="WW8Num16z0">
    <w:name w:val="WW8Num16z0"/>
    <w:rPr>
      <w:rFonts w:ascii="Symbol" w:hAnsi="Symbol" w:cs="Symbol" w:hint="default"/>
      <w:caps w:val="0"/>
      <w:smallCaps w:val="0"/>
      <w:sz w:val="20"/>
      <w:szCs w:val="20"/>
      <w:lang w:val="it-IT"/>
    </w:rPr>
  </w:style>
  <w:style w:type="character" w:customStyle="1" w:styleId="WW8Num16z1">
    <w:name w:val="WW8Num16z1"/>
    <w:rPr>
      <w:rFonts w:ascii="OpenSymbol" w:hAnsi="OpenSymbol" w:cs="OpenSymbol"/>
    </w:rPr>
  </w:style>
  <w:style w:type="character" w:customStyle="1" w:styleId="WW8Num16z3">
    <w:name w:val="WW8Num16z3"/>
    <w:rPr>
      <w:rFonts w:ascii="Symbol" w:hAnsi="Symbol" w:cs="Symbol"/>
    </w:rPr>
  </w:style>
  <w:style w:type="character" w:customStyle="1" w:styleId="WW8Num17z0">
    <w:name w:val="WW8Num17z0"/>
    <w:rPr>
      <w:rFonts w:ascii="Symbol" w:hAnsi="Symbol" w:cs="Symbol" w:hint="default"/>
      <w:sz w:val="20"/>
      <w:szCs w:val="32"/>
    </w:rPr>
  </w:style>
  <w:style w:type="character" w:customStyle="1" w:styleId="WW8Num18z0">
    <w:name w:val="WW8Num18z0"/>
    <w:rPr>
      <w:rFonts w:ascii="Symbol" w:hAnsi="Symbol" w:cs="Symbol" w:hint="default"/>
      <w:color w:val="auto"/>
      <w:sz w:val="20"/>
      <w:szCs w:val="20"/>
      <w:lang w:val="it-IT"/>
    </w:rPr>
  </w:style>
  <w:style w:type="character" w:customStyle="1" w:styleId="WW8Num19z0">
    <w:name w:val="WW8Num19z0"/>
    <w:rPr>
      <w:rFonts w:ascii="Symbol" w:hAnsi="Symbol" w:cs="Symbol" w:hint="default"/>
      <w:color w:val="000000"/>
      <w:sz w:val="20"/>
      <w:szCs w:val="32"/>
      <w:lang w:val="it-IT" w:eastAsia="ar-SA"/>
    </w:rPr>
  </w:style>
  <w:style w:type="character" w:customStyle="1" w:styleId="WW8Num19z1">
    <w:name w:val="WW8Num19z1"/>
    <w:rPr>
      <w:rFonts w:ascii="OpenSymbol" w:hAnsi="OpenSymbol" w:cs="Courier New" w:hint="default"/>
      <w:sz w:val="20"/>
      <w:szCs w:val="20"/>
    </w:rPr>
  </w:style>
  <w:style w:type="character" w:customStyle="1" w:styleId="WW8Num19z3">
    <w:name w:val="WW8Num19z3"/>
    <w:rPr>
      <w:rFonts w:ascii="Symbol" w:hAnsi="Symbol" w:cs="Symbol" w:hint="default"/>
    </w:rPr>
  </w:style>
  <w:style w:type="character" w:customStyle="1" w:styleId="WW8Num20z0">
    <w:name w:val="WW8Num20z0"/>
    <w:rPr>
      <w:rFonts w:ascii="Tahoma" w:eastAsia="Courier New" w:hAnsi="Tahoma" w:cs="Symbol" w:hint="default"/>
      <w:color w:val="auto"/>
      <w:sz w:val="20"/>
      <w:szCs w:val="20"/>
      <w:lang w:val="it-IT" w:eastAsia="ar-SA"/>
    </w:rPr>
  </w:style>
  <w:style w:type="character" w:customStyle="1" w:styleId="WW8Num20z1">
    <w:name w:val="WW8Num20z1"/>
    <w:rPr>
      <w:rFonts w:ascii="Tahoma" w:eastAsia="CenturyGothic" w:hAnsi="Tahoma" w:cs="Tahoma" w:hint="default"/>
      <w:sz w:val="20"/>
      <w:szCs w:val="20"/>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sz w:val="20"/>
      <w:szCs w:val="18"/>
      <w:lang w:val="it-IT"/>
    </w:rPr>
  </w:style>
  <w:style w:type="character" w:customStyle="1" w:styleId="WW8Num22z0">
    <w:name w:val="WW8Num22z0"/>
    <w:rPr>
      <w:rFonts w:ascii="Symbol" w:hAnsi="Symbol" w:cs="Symbol" w:hint="default"/>
      <w:color w:val="000000"/>
      <w:sz w:val="20"/>
      <w:szCs w:val="20"/>
      <w:lang w:val="it-IT"/>
    </w:rPr>
  </w:style>
  <w:style w:type="character" w:customStyle="1" w:styleId="WW8Num22z1">
    <w:name w:val="WW8Num22z1"/>
    <w:rPr>
      <w:rFonts w:ascii="Symbol" w:hAnsi="Symbol" w:cs="Courier New" w:hint="default"/>
      <w:szCs w:val="20"/>
    </w:rPr>
  </w:style>
  <w:style w:type="character" w:customStyle="1" w:styleId="WW8Num23z0">
    <w:name w:val="WW8Num23z0"/>
    <w:rPr>
      <w:rFonts w:ascii="Symbol" w:hAnsi="Symbol" w:cs="Symbol" w:hint="default"/>
      <w:color w:val="C5000B"/>
      <w:sz w:val="44"/>
      <w:szCs w:val="44"/>
    </w:rPr>
  </w:style>
  <w:style w:type="character" w:customStyle="1" w:styleId="WW8Num23z1">
    <w:name w:val="WW8Num23z1"/>
    <w:rPr>
      <w:rFonts w:ascii="Tahoma" w:hAnsi="Tahoma" w:cs="Tahoma" w:hint="default"/>
      <w:sz w:val="20"/>
      <w:szCs w:val="20"/>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3z4">
    <w:name w:val="WW8Num23z4"/>
    <w:rPr>
      <w:rFonts w:ascii="Courier New" w:hAnsi="Courier New" w:cs="Courier New" w:hint="default"/>
    </w:rPr>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Tahoma"/>
      <w:sz w:val="20"/>
      <w:szCs w:val="20"/>
    </w:rPr>
  </w:style>
  <w:style w:type="character" w:customStyle="1" w:styleId="WW8Num24z1">
    <w:name w:val="WW8Num24z1"/>
    <w:rPr>
      <w:rFonts w:ascii="Tahoma" w:eastAsia="CenturyGothic" w:hAnsi="Tahoma" w:cs="Tahoma"/>
      <w:color w:val="auto"/>
      <w:sz w:val="20"/>
      <w:szCs w:val="20"/>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sz w:val="20"/>
      <w:szCs w:val="32"/>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Times New Roman" w:hint="default"/>
      <w:b/>
      <w:i/>
      <w:caps w:val="0"/>
      <w:smallCaps w:val="0"/>
      <w:strike w:val="0"/>
      <w:dstrike w:val="0"/>
      <w:vanish w:val="0"/>
      <w:position w:val="0"/>
      <w:sz w:val="24"/>
      <w:vertAlign w:val="baseline"/>
    </w:rPr>
  </w:style>
  <w:style w:type="character" w:customStyle="1" w:styleId="WW8Num25z6">
    <w:name w:val="WW8Num25z6"/>
    <w:rPr>
      <w:rFonts w:ascii="Symbol" w:hAnsi="Symbol" w:cs="Symbol"/>
    </w:rPr>
  </w:style>
  <w:style w:type="character" w:customStyle="1" w:styleId="WW8Num26z0">
    <w:name w:val="WW8Num26z0"/>
    <w:rPr>
      <w:rFonts w:ascii="Symbol" w:hAnsi="Symbol" w:cs="Symbol" w:hint="default"/>
      <w:sz w:val="20"/>
      <w:szCs w:val="20"/>
    </w:rPr>
  </w:style>
  <w:style w:type="character" w:customStyle="1" w:styleId="WW8Num26z1">
    <w:name w:val="WW8Num26z1"/>
    <w:rPr>
      <w:rFonts w:ascii="Tahoma" w:eastAsia="CenturyGothic" w:hAnsi="Tahoma" w:cs="Tahoma" w:hint="default"/>
      <w:sz w:val="20"/>
      <w:szCs w:val="20"/>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ymbol" w:hint="default"/>
      <w:sz w:val="20"/>
      <w:szCs w:val="32"/>
    </w:rPr>
  </w:style>
  <w:style w:type="character" w:customStyle="1" w:styleId="WW8Num28z0">
    <w:name w:val="WW8Num28z0"/>
    <w:rPr>
      <w:rFonts w:ascii="Symbol" w:hAnsi="Symbol" w:cs="Symbol" w:hint="default"/>
      <w:sz w:val="20"/>
      <w:szCs w:val="32"/>
    </w:rPr>
  </w:style>
  <w:style w:type="character" w:customStyle="1" w:styleId="WW8Num28z1">
    <w:name w:val="WW8Num28z1"/>
    <w:rPr>
      <w:rFonts w:ascii="OpenSymbol" w:hAnsi="OpenSymbol" w:cs="Courier New" w:hint="default"/>
      <w:sz w:val="20"/>
      <w:szCs w:val="20"/>
    </w:rPr>
  </w:style>
  <w:style w:type="character" w:customStyle="1" w:styleId="WW8Num28z3">
    <w:name w:val="WW8Num28z3"/>
    <w:rPr>
      <w:rFonts w:ascii="Symbol" w:hAnsi="Symbol" w:cs="Symbol" w:hint="default"/>
    </w:rPr>
  </w:style>
  <w:style w:type="character" w:customStyle="1" w:styleId="WW8Num29z0">
    <w:name w:val="WW8Num29z0"/>
    <w:rPr>
      <w:rFonts w:ascii="Symbol" w:hAnsi="Symbol" w:cs="Symbol" w:hint="default"/>
      <w:w w:val="106"/>
      <w:sz w:val="20"/>
      <w:szCs w:val="20"/>
      <w:shd w:val="clear" w:color="auto" w:fill="FFFFFF"/>
      <w:lang w:val="it-IT" w:bidi="it-IT"/>
    </w:rPr>
  </w:style>
  <w:style w:type="character" w:customStyle="1" w:styleId="WW8Num29z1">
    <w:name w:val="WW8Num29z1"/>
    <w:rPr>
      <w:rFonts w:ascii="OpenSymbol" w:hAnsi="OpenSymbol" w:cs="Courier New" w:hint="default"/>
      <w:sz w:val="20"/>
      <w:szCs w:val="20"/>
    </w:rPr>
  </w:style>
  <w:style w:type="character" w:customStyle="1" w:styleId="WW8Num29z3">
    <w:name w:val="WW8Num29z3"/>
    <w:rPr>
      <w:rFonts w:ascii="Symbol" w:hAnsi="Symbol" w:cs="Symbol" w:hint="default"/>
    </w:rPr>
  </w:style>
  <w:style w:type="character" w:customStyle="1" w:styleId="WW8Num30z0">
    <w:name w:val="WW8Num30z0"/>
    <w:rPr>
      <w:rFonts w:ascii="Symbol" w:hAnsi="Symbol" w:cs="Symbol" w:hint="default"/>
      <w:color w:val="auto"/>
      <w:sz w:val="20"/>
      <w:szCs w:val="32"/>
    </w:rPr>
  </w:style>
  <w:style w:type="character" w:customStyle="1" w:styleId="WW8Num30z1">
    <w:name w:val="WW8Num30z1"/>
    <w:rPr>
      <w:rFonts w:ascii="OpenSymbol" w:hAnsi="OpenSymbol" w:cs="Courier New" w:hint="default"/>
      <w:sz w:val="20"/>
      <w:szCs w:val="20"/>
    </w:rPr>
  </w:style>
  <w:style w:type="character" w:customStyle="1" w:styleId="WW8Num30z3">
    <w:name w:val="WW8Num30z3"/>
    <w:rPr>
      <w:rFonts w:ascii="Symbol" w:hAnsi="Symbol" w:cs="Symbol" w:hint="default"/>
      <w:color w:val="auto"/>
      <w:sz w:val="20"/>
      <w:szCs w:val="20"/>
    </w:rPr>
  </w:style>
  <w:style w:type="character" w:customStyle="1" w:styleId="WW8Num31z0">
    <w:name w:val="WW8Num31z0"/>
    <w:rPr>
      <w:rFonts w:ascii="Tahoma" w:hAnsi="Tahoma" w:cs="Tahoma" w:hint="default"/>
      <w:b w:val="0"/>
      <w:bCs/>
      <w:i w:val="0"/>
      <w:caps w:val="0"/>
      <w:smallCaps w:val="0"/>
      <w:strike w:val="0"/>
      <w:dstrike w:val="0"/>
      <w:color w:val="000000"/>
      <w:position w:val="0"/>
      <w:sz w:val="20"/>
      <w:szCs w:val="26"/>
      <w:u w:val="none" w:color="000000"/>
      <w:vertAlign w:val="baseline"/>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hAnsi="Symbol" w:cs="Symbol" w:hint="default"/>
      <w:sz w:val="20"/>
      <w:szCs w:val="32"/>
    </w:rPr>
  </w:style>
  <w:style w:type="character" w:customStyle="1" w:styleId="WW8Num32z1">
    <w:name w:val="WW8Num32z1"/>
    <w:rPr>
      <w:rFonts w:ascii="OpenSymbol" w:hAnsi="OpenSymbol" w:cs="OpenSymbol"/>
    </w:rPr>
  </w:style>
  <w:style w:type="character" w:customStyle="1" w:styleId="WW8Num32z3">
    <w:name w:val="WW8Num32z3"/>
    <w:rPr>
      <w:rFonts w:ascii="Symbol" w:hAnsi="Symbol" w:cs="OpenSymbol"/>
    </w:rPr>
  </w:style>
  <w:style w:type="character" w:customStyle="1" w:styleId="WW8Num33z0">
    <w:name w:val="WW8Num33z0"/>
    <w:rPr>
      <w:rFonts w:ascii="Symbol" w:hAnsi="Symbol" w:cs="Symbol" w:hint="default"/>
      <w:sz w:val="20"/>
      <w:szCs w:val="32"/>
    </w:rPr>
  </w:style>
  <w:style w:type="character" w:customStyle="1" w:styleId="WW8Num33z1">
    <w:name w:val="WW8Num33z1"/>
    <w:rPr>
      <w:rFonts w:ascii="OpenSymbol" w:hAnsi="OpenSymbol" w:cs="OpenSymbol"/>
    </w:rPr>
  </w:style>
  <w:style w:type="character" w:customStyle="1" w:styleId="WW8Num33z3">
    <w:name w:val="WW8Num33z3"/>
    <w:rPr>
      <w:rFonts w:ascii="Symbol" w:hAnsi="Symbol" w:cs="OpenSymbol"/>
    </w:rPr>
  </w:style>
  <w:style w:type="character" w:customStyle="1" w:styleId="WW8Num34z0">
    <w:name w:val="WW8Num34z0"/>
    <w:rPr>
      <w:rFonts w:ascii="Bookman Old Style" w:eastAsia="Calibri" w:hAnsi="Bookman Old Style" w:cs="OpenSymbol" w:hint="default"/>
      <w:w w:val="99"/>
      <w:sz w:val="20"/>
      <w:szCs w:val="20"/>
      <w:lang w:val="it-IT"/>
    </w:rPr>
  </w:style>
  <w:style w:type="character" w:customStyle="1" w:styleId="WW8Num35z0">
    <w:name w:val="WW8Num35z0"/>
    <w:rPr>
      <w:rFonts w:ascii="Bookman Old Style" w:eastAsia="Calibri" w:hAnsi="Bookman Old Style" w:cs="OpenSymbol" w:hint="default"/>
      <w:w w:val="99"/>
      <w:sz w:val="20"/>
      <w:szCs w:val="20"/>
      <w:lang w:val="it-IT"/>
    </w:rPr>
  </w:style>
  <w:style w:type="character" w:customStyle="1" w:styleId="WW8Num36z0">
    <w:name w:val="WW8Num36z0"/>
    <w:rPr>
      <w:rFonts w:ascii="Bookman Old Style" w:eastAsia="Calibri" w:hAnsi="Bookman Old Style" w:cs="OpenSymbol" w:hint="default"/>
      <w:w w:val="99"/>
      <w:sz w:val="20"/>
      <w:szCs w:val="20"/>
      <w:lang w:val="it-IT"/>
    </w:rPr>
  </w:style>
  <w:style w:type="character" w:customStyle="1" w:styleId="WW8Num37z0">
    <w:name w:val="WW8Num37z0"/>
    <w:rPr>
      <w:rFonts w:ascii="Bookman Old Style" w:hAnsi="Bookman Old Style" w:cs="OpenSymbol" w:hint="default"/>
      <w:w w:val="99"/>
      <w:sz w:val="20"/>
      <w:szCs w:val="20"/>
      <w:lang w:val="it-IT"/>
    </w:rPr>
  </w:style>
  <w:style w:type="character" w:customStyle="1" w:styleId="WW8Num38z0">
    <w:name w:val="WW8Num38z0"/>
    <w:rPr>
      <w:rFonts w:ascii="Bookman Old Style" w:eastAsia="Calibri" w:hAnsi="Bookman Old Style" w:cs="OpenSymbol" w:hint="default"/>
      <w:w w:val="99"/>
      <w:sz w:val="20"/>
      <w:szCs w:val="20"/>
      <w:lang w:val="it-IT"/>
    </w:rPr>
  </w:style>
  <w:style w:type="character" w:customStyle="1" w:styleId="WW8Num39z0">
    <w:name w:val="WW8Num39z0"/>
    <w:rPr>
      <w:rFonts w:ascii="Bookman Old Style" w:eastAsia="Calibri" w:hAnsi="Bookman Old Style" w:cs="Symbol" w:hint="default"/>
      <w:w w:val="99"/>
      <w:sz w:val="20"/>
      <w:szCs w:val="32"/>
      <w:lang w:val="it-IT"/>
    </w:rPr>
  </w:style>
  <w:style w:type="character" w:customStyle="1" w:styleId="WW8Num40z0">
    <w:name w:val="WW8Num40z0"/>
    <w:rPr>
      <w:rFonts w:ascii="Symbol" w:hAnsi="Symbol" w:cs="Symbol" w:hint="default"/>
      <w:color w:val="auto"/>
      <w:sz w:val="20"/>
      <w:szCs w:val="32"/>
    </w:rPr>
  </w:style>
  <w:style w:type="character" w:customStyle="1" w:styleId="WW8Num40z1">
    <w:name w:val="WW8Num40z1"/>
    <w:rPr>
      <w:rFonts w:ascii="OpenSymbol" w:hAnsi="OpenSymbol" w:cs="OpenSymbol"/>
    </w:rPr>
  </w:style>
  <w:style w:type="character" w:customStyle="1" w:styleId="WW8Num40z3">
    <w:name w:val="WW8Num40z3"/>
    <w:rPr>
      <w:rFonts w:ascii="Symbol" w:hAnsi="Symbol" w:cs="OpenSymbol"/>
      <w:color w:val="auto"/>
    </w:rPr>
  </w:style>
  <w:style w:type="character" w:customStyle="1" w:styleId="WW8Num41z0">
    <w:name w:val="WW8Num41z0"/>
    <w:rPr>
      <w:rFonts w:ascii="Bookman Old Style" w:eastAsia="Calibri" w:hAnsi="Bookman Old Style" w:cs="OpenSymbol" w:hint="default"/>
      <w:w w:val="99"/>
      <w:sz w:val="20"/>
      <w:szCs w:val="20"/>
      <w:lang w:val="it-IT"/>
    </w:rPr>
  </w:style>
  <w:style w:type="character" w:customStyle="1" w:styleId="WW8Num41z1">
    <w:name w:val="WW8Num41z1"/>
    <w:rPr>
      <w:rFonts w:ascii="Bookman Old Style" w:eastAsia="Calibri" w:hAnsi="Bookman Old Style" w:cs="Symbol" w:hint="default"/>
      <w:w w:val="99"/>
      <w:sz w:val="20"/>
      <w:szCs w:val="32"/>
      <w:lang w:val="it-IT"/>
    </w:rPr>
  </w:style>
  <w:style w:type="character" w:customStyle="1" w:styleId="WW8Num41z2">
    <w:name w:val="WW8Num41z2"/>
    <w:rPr>
      <w:rFonts w:ascii="Liberation Serif" w:hAnsi="Liberation Serif" w:cs="Liberation Serif" w:hint="default"/>
    </w:rPr>
  </w:style>
  <w:style w:type="character" w:customStyle="1" w:styleId="WW8Num42z0">
    <w:name w:val="WW8Num42z0"/>
    <w:rPr>
      <w:rFonts w:ascii="Symbol" w:hAnsi="Symbol" w:cs="Symbol" w:hint="default"/>
      <w:sz w:val="20"/>
      <w:szCs w:val="32"/>
    </w:rPr>
  </w:style>
  <w:style w:type="character" w:customStyle="1" w:styleId="WW8Num42z1">
    <w:name w:val="WW8Num42z1"/>
    <w:rPr>
      <w:rFonts w:ascii="OpenSymbol" w:hAnsi="OpenSymbol" w:cs="OpenSymbol"/>
    </w:rPr>
  </w:style>
  <w:style w:type="character" w:customStyle="1" w:styleId="WW8Num42z3">
    <w:name w:val="WW8Num42z3"/>
    <w:rPr>
      <w:rFonts w:ascii="Symbol" w:hAnsi="Symbol" w:cs="OpenSymbol"/>
    </w:rPr>
  </w:style>
  <w:style w:type="character" w:customStyle="1" w:styleId="WW8Num43z0">
    <w:name w:val="WW8Num43z0"/>
    <w:rPr>
      <w:rFonts w:ascii="Bookman Old Style" w:hAnsi="Bookman Old Style" w:cs="OpenSymbol" w:hint="default"/>
      <w:w w:val="99"/>
      <w:sz w:val="20"/>
      <w:szCs w:val="20"/>
    </w:rPr>
  </w:style>
  <w:style w:type="character" w:customStyle="1" w:styleId="WW8Num44z0">
    <w:name w:val="WW8Num44z0"/>
    <w:rPr>
      <w:rFonts w:ascii="Tahoma" w:eastAsia="Courier New" w:hAnsi="Tahoma" w:cs="Symbol" w:hint="default"/>
      <w:color w:val="auto"/>
      <w:sz w:val="20"/>
      <w:szCs w:val="20"/>
      <w:lang w:val="it-IT"/>
    </w:rPr>
  </w:style>
  <w:style w:type="character" w:customStyle="1" w:styleId="WW8Num44z1">
    <w:name w:val="WW8Num44z1"/>
    <w:rPr>
      <w:rFonts w:ascii="Tahoma" w:hAnsi="Tahoma" w:cs="Tahoma" w:hint="default"/>
      <w:sz w:val="20"/>
      <w:szCs w:val="20"/>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Bookman Old Style" w:eastAsia="Calibri" w:hAnsi="Bookman Old Style" w:cs="OpenSymbol" w:hint="default"/>
      <w:w w:val="99"/>
      <w:sz w:val="20"/>
      <w:szCs w:val="20"/>
      <w:lang w:val="it-IT"/>
    </w:rPr>
  </w:style>
  <w:style w:type="character" w:customStyle="1" w:styleId="WW8Num46z0">
    <w:name w:val="WW8Num46z0"/>
    <w:rPr>
      <w:rFonts w:cs="Tahoma"/>
    </w:rPr>
  </w:style>
  <w:style w:type="character" w:customStyle="1" w:styleId="WW8Num47z0">
    <w:name w:val="WW8Num47z0"/>
    <w:rPr>
      <w:rFonts w:ascii="Symbol" w:hAnsi="Symbol" w:cs="Symbol" w:hint="default"/>
      <w:sz w:val="20"/>
      <w:szCs w:val="20"/>
    </w:rPr>
  </w:style>
  <w:style w:type="character" w:customStyle="1" w:styleId="WW8Num48z0">
    <w:name w:val="WW8Num48z0"/>
    <w:rPr>
      <w:rFonts w:ascii="Bookman Old Style" w:eastAsia="Calibri" w:hAnsi="Bookman Old Style" w:cs="OpenSymbol" w:hint="default"/>
      <w:w w:val="99"/>
      <w:sz w:val="20"/>
      <w:szCs w:val="20"/>
      <w:lang w:val="it-IT"/>
    </w:rPr>
  </w:style>
  <w:style w:type="character" w:customStyle="1" w:styleId="WW8Num49z0">
    <w:name w:val="WW8Num49z0"/>
    <w:rPr>
      <w:rFonts w:ascii="Bookman Old Style" w:eastAsia="Calibri" w:hAnsi="Bookman Old Style" w:cs="OpenSymbol" w:hint="default"/>
      <w:w w:val="99"/>
      <w:sz w:val="20"/>
      <w:szCs w:val="20"/>
      <w:lang w:val="it-IT"/>
    </w:rPr>
  </w:style>
  <w:style w:type="character" w:customStyle="1" w:styleId="WW8Num50z0">
    <w:name w:val="WW8Num50z0"/>
    <w:rPr>
      <w:rFonts w:ascii="Bookman Old Style" w:eastAsia="Calibri" w:hAnsi="Bookman Old Style" w:cs="OpenSymbol" w:hint="default"/>
      <w:w w:val="99"/>
      <w:sz w:val="20"/>
      <w:szCs w:val="20"/>
      <w:lang w:val="it-IT"/>
    </w:rPr>
  </w:style>
  <w:style w:type="character" w:customStyle="1" w:styleId="WW8Num51z0">
    <w:name w:val="WW8Num51z0"/>
    <w:rPr>
      <w:rFonts w:ascii="Tahoma" w:hAnsi="Tahoma" w:cs="Symbol" w:hint="default"/>
      <w:color w:val="auto"/>
      <w:sz w:val="20"/>
      <w:szCs w:val="20"/>
      <w:lang w:val="it-IT"/>
    </w:rPr>
  </w:style>
  <w:style w:type="character" w:customStyle="1" w:styleId="WW8Num51z1">
    <w:name w:val="WW8Num51z1"/>
    <w:rPr>
      <w:rFonts w:ascii="Tahoma" w:hAnsi="Tahoma" w:cs="Tahoma" w:hint="default"/>
      <w:iCs/>
      <w:sz w:val="20"/>
      <w:szCs w:val="20"/>
    </w:rPr>
  </w:style>
  <w:style w:type="character" w:customStyle="1" w:styleId="WW8Num51z2">
    <w:name w:val="WW8Num51z2"/>
    <w:rPr>
      <w:rFonts w:ascii="Wingdings" w:hAnsi="Wingdings" w:cs="Wingdings" w:hint="default"/>
    </w:rPr>
  </w:style>
  <w:style w:type="character" w:customStyle="1" w:styleId="WW8Num51z3">
    <w:name w:val="WW8Num51z3"/>
    <w:rPr>
      <w:rFonts w:ascii="Symbol" w:hAnsi="Symbol" w:cs="Symbol" w:hint="default"/>
    </w:rPr>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ascii="Bookman Old Style" w:eastAsia="Calibri" w:hAnsi="Bookman Old Style" w:cs="OpenSymbol" w:hint="default"/>
      <w:w w:val="99"/>
      <w:sz w:val="20"/>
      <w:szCs w:val="20"/>
      <w:lang w:val="it-IT"/>
    </w:rPr>
  </w:style>
  <w:style w:type="character" w:customStyle="1" w:styleId="WW8Num53z0">
    <w:name w:val="WW8Num53z0"/>
    <w:rPr>
      <w:rFonts w:ascii="Bookman Old Style" w:hAnsi="Bookman Old Style" w:cs="OpenSymbol" w:hint="default"/>
      <w:sz w:val="20"/>
      <w:szCs w:val="20"/>
      <w:lang w:val="it-IT"/>
    </w:rPr>
  </w:style>
  <w:style w:type="character" w:customStyle="1" w:styleId="WW8Num54z0">
    <w:name w:val="WW8Num54z0"/>
    <w:rPr>
      <w:rFonts w:ascii="Bookman Old Style" w:eastAsia="Calibri" w:hAnsi="Bookman Old Style" w:cs="OpenSymbol" w:hint="default"/>
      <w:w w:val="99"/>
      <w:sz w:val="20"/>
      <w:szCs w:val="20"/>
      <w:lang w:val="it-IT"/>
    </w:rPr>
  </w:style>
  <w:style w:type="character" w:customStyle="1" w:styleId="WW8Num55z0">
    <w:name w:val="WW8Num55z0"/>
    <w:rPr>
      <w:rFonts w:ascii="Symbol" w:hAnsi="Symbol" w:cs="Symbol" w:hint="default"/>
      <w:szCs w:val="20"/>
      <w:lang w:eastAsia="ar-SA"/>
    </w:rPr>
  </w:style>
  <w:style w:type="character" w:customStyle="1" w:styleId="WW8Num56z0">
    <w:name w:val="WW8Num56z0"/>
    <w:rPr>
      <w:rFonts w:ascii="Bookman Old Style" w:eastAsia="Calibri" w:hAnsi="Bookman Old Style" w:cs="OpenSymbol" w:hint="default"/>
      <w:w w:val="99"/>
      <w:sz w:val="20"/>
      <w:szCs w:val="20"/>
      <w:lang w:val="it-IT"/>
    </w:rPr>
  </w:style>
  <w:style w:type="character" w:customStyle="1" w:styleId="WW8Num56z1">
    <w:name w:val="WW8Num56z1"/>
    <w:rPr>
      <w:rFonts w:ascii="Bookman Old Style" w:eastAsia="Calibri" w:hAnsi="Bookman Old Style" w:cs="Symbol" w:hint="default"/>
      <w:w w:val="99"/>
      <w:sz w:val="20"/>
      <w:szCs w:val="32"/>
      <w:lang w:val="it-IT"/>
    </w:rPr>
  </w:style>
  <w:style w:type="character" w:customStyle="1" w:styleId="WW8Num56z2">
    <w:name w:val="WW8Num56z2"/>
    <w:rPr>
      <w:rFonts w:ascii="Liberation Serif" w:hAnsi="Liberation Serif" w:cs="Liberation Serif" w:hint="default"/>
    </w:rPr>
  </w:style>
  <w:style w:type="character" w:customStyle="1" w:styleId="WW8Num57z0">
    <w:name w:val="WW8Num57z0"/>
    <w:rPr>
      <w:rFonts w:ascii="Bookman Old Style" w:eastAsia="Calibri" w:hAnsi="Bookman Old Style" w:cs="OpenSymbol" w:hint="default"/>
      <w:w w:val="99"/>
      <w:sz w:val="20"/>
      <w:szCs w:val="20"/>
      <w:lang w:val="it-IT"/>
    </w:rPr>
  </w:style>
  <w:style w:type="character" w:customStyle="1" w:styleId="WW8Num57z1">
    <w:name w:val="WW8Num57z1"/>
    <w:rPr>
      <w:rFonts w:ascii="Bookman Old Style" w:hAnsi="Bookman Old Style" w:cs="Symbol" w:hint="default"/>
      <w:w w:val="99"/>
      <w:sz w:val="20"/>
      <w:szCs w:val="32"/>
      <w:lang w:val="it-IT"/>
    </w:rPr>
  </w:style>
  <w:style w:type="character" w:customStyle="1" w:styleId="WW8Num57z2">
    <w:name w:val="WW8Num57z2"/>
    <w:rPr>
      <w:rFonts w:ascii="Liberation Serif" w:hAnsi="Liberation Serif" w:cs="Liberation Serif" w:hint="default"/>
    </w:rPr>
  </w:style>
  <w:style w:type="character" w:customStyle="1" w:styleId="WW8Num58z0">
    <w:name w:val="WW8Num58z0"/>
    <w:rPr>
      <w:rFonts w:ascii="Symbol" w:hAnsi="Symbol" w:cs="Symbol" w:hint="default"/>
      <w:color w:val="auto"/>
      <w:sz w:val="20"/>
      <w:szCs w:val="32"/>
    </w:rPr>
  </w:style>
  <w:style w:type="character" w:customStyle="1" w:styleId="WW8Num58z1">
    <w:name w:val="WW8Num58z1"/>
    <w:rPr>
      <w:rFonts w:ascii="OpenSymbol" w:hAnsi="OpenSymbol" w:cs="OpenSymbol"/>
    </w:rPr>
  </w:style>
  <w:style w:type="character" w:customStyle="1" w:styleId="WW8Num58z3">
    <w:name w:val="WW8Num58z3"/>
    <w:rPr>
      <w:rFonts w:ascii="Symbol" w:hAnsi="Symbol" w:cs="OpenSymbol"/>
      <w:color w:val="auto"/>
    </w:rPr>
  </w:style>
  <w:style w:type="character" w:customStyle="1" w:styleId="WW8Num59z0">
    <w:name w:val="WW8Num59z0"/>
    <w:rPr>
      <w:rFonts w:ascii="Symbol" w:hAnsi="Symbol" w:cs="Symbol" w:hint="default"/>
      <w:sz w:val="20"/>
      <w:szCs w:val="20"/>
      <w:lang w:val="it-IT"/>
    </w:rPr>
  </w:style>
  <w:style w:type="character" w:customStyle="1" w:styleId="WW8Num59z1">
    <w:name w:val="WW8Num59z1"/>
    <w:rPr>
      <w:rFonts w:ascii="Symbol" w:hAnsi="Symbol" w:cs="Symbol"/>
      <w:lang w:val="it-IT"/>
    </w:rPr>
  </w:style>
  <w:style w:type="character" w:customStyle="1" w:styleId="WW8Num59z4">
    <w:name w:val="WW8Num59z4"/>
    <w:rPr>
      <w:rFonts w:ascii="Bookman Old Style" w:hAnsi="Bookman Old Style" w:cs="Symbol" w:hint="default"/>
      <w:sz w:val="20"/>
      <w:szCs w:val="32"/>
      <w:lang w:val="it-IT"/>
    </w:rPr>
  </w:style>
  <w:style w:type="character" w:customStyle="1" w:styleId="WW8Num60z0">
    <w:name w:val="WW8Num60z0"/>
    <w:rPr>
      <w:rFonts w:ascii="Symbol" w:hAnsi="Symbol" w:cs="OpenSymbol"/>
      <w:color w:val="000000"/>
      <w:sz w:val="20"/>
      <w:szCs w:val="24"/>
      <w:lang w:val="it-IT" w:eastAsia="zh-CN" w:bidi="ar-SA"/>
    </w:rPr>
  </w:style>
  <w:style w:type="character" w:customStyle="1" w:styleId="WW8Num60z1">
    <w:name w:val="WW8Num60z1"/>
    <w:rPr>
      <w:rFonts w:ascii="OpenSymbol" w:hAnsi="OpenSymbol" w:cs="OpenSymbol"/>
    </w:rPr>
  </w:style>
  <w:style w:type="character" w:customStyle="1" w:styleId="WW8Num60z3">
    <w:name w:val="WW8Num60z3"/>
    <w:rPr>
      <w:rFonts w:ascii="Symbol" w:hAnsi="Symbol" w:cs="OpenSymbol"/>
      <w:color w:val="C9211E"/>
      <w:sz w:val="20"/>
      <w:szCs w:val="24"/>
      <w:lang w:val="it-IT" w:eastAsia="zh-CN" w:bidi="ar-SA"/>
    </w:rPr>
  </w:style>
  <w:style w:type="character" w:customStyle="1" w:styleId="WW8Num61z0">
    <w:name w:val="WW8Num61z0"/>
    <w:rPr>
      <w:rFonts w:ascii="Symbol" w:hAnsi="Symbol" w:cs="OpenSymbol"/>
      <w:color w:val="000000"/>
      <w:szCs w:val="20"/>
    </w:rPr>
  </w:style>
  <w:style w:type="character" w:customStyle="1" w:styleId="WW8Num61z1">
    <w:name w:val="WW8Num61z1"/>
    <w:rPr>
      <w:rFonts w:ascii="OpenSymbol" w:hAnsi="OpenSymbol" w:cs="OpenSymbol"/>
    </w:rPr>
  </w:style>
  <w:style w:type="character" w:customStyle="1" w:styleId="WW8Num61z3">
    <w:name w:val="WW8Num61z3"/>
    <w:rPr>
      <w:rFonts w:ascii="Symbol" w:hAnsi="Symbol" w:cs="OpenSymbol"/>
      <w:color w:val="C9211E"/>
      <w:szCs w:val="20"/>
    </w:rPr>
  </w:style>
  <w:style w:type="character" w:customStyle="1" w:styleId="WW8Num62z0">
    <w:name w:val="WW8Num62z0"/>
    <w:rPr>
      <w:rFonts w:cs="Tahoma"/>
      <w:color w:val="000000"/>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ascii="Symbol" w:hAnsi="Symbol" w:cs="OpenSymbol"/>
      <w:color w:val="000000"/>
      <w:sz w:val="20"/>
      <w:szCs w:val="20"/>
    </w:rPr>
  </w:style>
  <w:style w:type="character" w:customStyle="1" w:styleId="WW8Num63z1">
    <w:name w:val="WW8Num63z1"/>
    <w:rPr>
      <w:rFonts w:ascii="OpenSymbol" w:hAnsi="OpenSymbol" w:cs="OpenSymbol"/>
    </w:rPr>
  </w:style>
  <w:style w:type="character" w:customStyle="1" w:styleId="WW8Num63z3">
    <w:name w:val="WW8Num63z3"/>
    <w:rPr>
      <w:rFonts w:ascii="Symbol" w:hAnsi="Symbol" w:cs="OpenSymbol"/>
      <w:color w:val="C9211E"/>
      <w:sz w:val="20"/>
      <w:szCs w:val="20"/>
    </w:rPr>
  </w:style>
  <w:style w:type="character" w:customStyle="1" w:styleId="WW8Num64z0">
    <w:name w:val="WW8Num64z0"/>
    <w:rPr>
      <w:rFonts w:ascii="Symbol" w:hAnsi="Symbol" w:cs="OpenSymbol"/>
      <w:color w:val="000000"/>
      <w:szCs w:val="20"/>
    </w:rPr>
  </w:style>
  <w:style w:type="character" w:customStyle="1" w:styleId="WW8Num64z1">
    <w:name w:val="WW8Num64z1"/>
    <w:rPr>
      <w:rFonts w:ascii="OpenSymbol" w:hAnsi="OpenSymbol" w:cs="OpenSymbol"/>
    </w:rPr>
  </w:style>
  <w:style w:type="character" w:customStyle="1" w:styleId="WW8Num64z3">
    <w:name w:val="WW8Num64z3"/>
    <w:rPr>
      <w:rFonts w:ascii="Symbol" w:hAnsi="Symbol" w:cs="OpenSymbol"/>
      <w:color w:val="C9211E"/>
      <w:szCs w:val="20"/>
    </w:rPr>
  </w:style>
  <w:style w:type="character" w:customStyle="1" w:styleId="WW8Num65z0">
    <w:name w:val="WW8Num65z0"/>
    <w:rPr>
      <w:rFonts w:ascii="Symbol" w:hAnsi="Symbol" w:cs="OpenSymbol"/>
      <w:color w:val="000000"/>
      <w:sz w:val="20"/>
      <w:szCs w:val="20"/>
    </w:rPr>
  </w:style>
  <w:style w:type="character" w:customStyle="1" w:styleId="WW8Num65z1">
    <w:name w:val="WW8Num65z1"/>
    <w:rPr>
      <w:rFonts w:ascii="OpenSymbol" w:hAnsi="OpenSymbol" w:cs="OpenSymbol"/>
    </w:rPr>
  </w:style>
  <w:style w:type="character" w:customStyle="1" w:styleId="WW8Num65z3">
    <w:name w:val="WW8Num65z3"/>
    <w:rPr>
      <w:rFonts w:ascii="Symbol" w:hAnsi="Symbol" w:cs="OpenSymbol"/>
      <w:color w:val="C9211E"/>
      <w:sz w:val="20"/>
      <w:szCs w:val="20"/>
    </w:rPr>
  </w:style>
  <w:style w:type="character" w:customStyle="1" w:styleId="WW8Num66z0">
    <w:name w:val="WW8Num66z0"/>
    <w:rPr>
      <w:rFonts w:ascii="Symbol" w:hAnsi="Symbol" w:cs="OpenSymbol"/>
      <w:color w:val="000000"/>
      <w:sz w:val="20"/>
      <w:szCs w:val="20"/>
    </w:rPr>
  </w:style>
  <w:style w:type="character" w:customStyle="1" w:styleId="WW8Num66z1">
    <w:name w:val="WW8Num66z1"/>
    <w:rPr>
      <w:rFonts w:ascii="OpenSymbol" w:hAnsi="OpenSymbol" w:cs="OpenSymbol"/>
    </w:rPr>
  </w:style>
  <w:style w:type="character" w:customStyle="1" w:styleId="WW8Num66z3">
    <w:name w:val="WW8Num66z3"/>
    <w:rPr>
      <w:rFonts w:ascii="Symbol" w:hAnsi="Symbol" w:cs="OpenSymbol"/>
      <w:color w:val="C9211E"/>
      <w:sz w:val="20"/>
      <w:szCs w:val="20"/>
    </w:rPr>
  </w:style>
  <w:style w:type="character" w:customStyle="1" w:styleId="WW8Num67z0">
    <w:name w:val="WW8Num67z0"/>
    <w:rPr>
      <w:rFonts w:ascii="Symbol" w:hAnsi="Symbol" w:cs="OpenSymbol"/>
      <w:szCs w:val="20"/>
    </w:rPr>
  </w:style>
  <w:style w:type="character" w:customStyle="1" w:styleId="WW8Num67z1">
    <w:name w:val="WW8Num67z1"/>
    <w:rPr>
      <w:rFonts w:ascii="OpenSymbol" w:hAnsi="OpenSymbol" w:cs="OpenSymbol"/>
    </w:rPr>
  </w:style>
  <w:style w:type="character" w:customStyle="1" w:styleId="WW8Num68z0">
    <w:name w:val="WW8Num68z0"/>
    <w:rPr>
      <w:rFonts w:ascii="Symbol" w:hAnsi="Symbol" w:cs="OpenSymbol"/>
      <w:color w:val="000000"/>
      <w:sz w:val="20"/>
      <w:szCs w:val="20"/>
    </w:rPr>
  </w:style>
  <w:style w:type="character" w:customStyle="1" w:styleId="WW8Num68z1">
    <w:name w:val="WW8Num68z1"/>
    <w:rPr>
      <w:rFonts w:ascii="OpenSymbol" w:hAnsi="OpenSymbol" w:cs="OpenSymbol"/>
    </w:rPr>
  </w:style>
  <w:style w:type="character" w:customStyle="1" w:styleId="WW8Num68z3">
    <w:name w:val="WW8Num68z3"/>
    <w:rPr>
      <w:rFonts w:ascii="Symbol" w:hAnsi="Symbol" w:cs="OpenSymbol"/>
      <w:color w:val="C9211E"/>
      <w:sz w:val="20"/>
      <w:szCs w:val="20"/>
    </w:rPr>
  </w:style>
  <w:style w:type="character" w:customStyle="1" w:styleId="WW8Num69z0">
    <w:name w:val="WW8Num69z0"/>
    <w:rPr>
      <w:rFonts w:ascii="Symbol" w:hAnsi="Symbol" w:cs="OpenSymbol"/>
    </w:rPr>
  </w:style>
  <w:style w:type="character" w:customStyle="1" w:styleId="WW8Num69z1">
    <w:name w:val="WW8Num69z1"/>
    <w:rPr>
      <w:rFonts w:ascii="OpenSymbol" w:hAnsi="OpenSymbol" w:cs="OpenSymbol"/>
    </w:rPr>
  </w:style>
  <w:style w:type="character" w:customStyle="1" w:styleId="WW8Num70z0">
    <w:name w:val="WW8Num70z0"/>
    <w:rPr>
      <w:rFonts w:ascii="Symbol" w:hAnsi="Symbol" w:cs="OpenSymbol"/>
      <w:szCs w:val="20"/>
    </w:rPr>
  </w:style>
  <w:style w:type="character" w:customStyle="1" w:styleId="WW8Num70z1">
    <w:name w:val="WW8Num70z1"/>
    <w:rPr>
      <w:rFonts w:ascii="OpenSymbol" w:hAnsi="OpenSymbol" w:cs="OpenSymbol"/>
    </w:rPr>
  </w:style>
  <w:style w:type="character" w:customStyle="1" w:styleId="WW8Num71z0">
    <w:name w:val="WW8Num71z0"/>
    <w:rPr>
      <w:rFonts w:ascii="Symbol" w:hAnsi="Symbol" w:cs="OpenSymbol"/>
      <w:szCs w:val="20"/>
    </w:rPr>
  </w:style>
  <w:style w:type="character" w:customStyle="1" w:styleId="WW8Num71z1">
    <w:name w:val="WW8Num71z1"/>
    <w:rPr>
      <w:rFonts w:ascii="OpenSymbol" w:hAnsi="OpenSymbol" w:cs="OpenSymbol"/>
    </w:rPr>
  </w:style>
  <w:style w:type="character" w:customStyle="1" w:styleId="WW8Num72z0">
    <w:name w:val="WW8Num72z0"/>
    <w:rPr>
      <w:rFonts w:ascii="Symbol" w:hAnsi="Symbol" w:cs="OpenSymbol"/>
      <w:szCs w:val="20"/>
    </w:rPr>
  </w:style>
  <w:style w:type="character" w:customStyle="1" w:styleId="WW8Num72z1">
    <w:name w:val="WW8Num72z1"/>
    <w:rPr>
      <w:rFonts w:ascii="OpenSymbol" w:hAnsi="OpenSymbol" w:cs="OpenSymbol"/>
    </w:rPr>
  </w:style>
  <w:style w:type="character" w:customStyle="1" w:styleId="WW8Num73z0">
    <w:name w:val="WW8Num73z0"/>
    <w:rPr>
      <w:rFonts w:ascii="Symbol" w:hAnsi="Symbol" w:cs="Symbol" w:hint="default"/>
      <w:color w:val="auto"/>
      <w:sz w:val="20"/>
      <w:szCs w:val="32"/>
    </w:rPr>
  </w:style>
  <w:style w:type="character" w:customStyle="1" w:styleId="WW8Num73z1">
    <w:name w:val="WW8Num73z1"/>
    <w:rPr>
      <w:rFonts w:ascii="OpenSymbol" w:hAnsi="OpenSymbol" w:cs="OpenSymbol"/>
    </w:rPr>
  </w:style>
  <w:style w:type="character" w:customStyle="1" w:styleId="WW8Num73z3">
    <w:name w:val="WW8Num73z3"/>
    <w:rPr>
      <w:rFonts w:ascii="Symbol" w:hAnsi="Symbol" w:cs="OpenSymbol"/>
      <w:color w:val="auto"/>
    </w:rPr>
  </w:style>
  <w:style w:type="character" w:customStyle="1" w:styleId="WW8Num74z0">
    <w:name w:val="WW8Num74z0"/>
    <w:rPr>
      <w:rFonts w:ascii="Symbol" w:hAnsi="Symbol" w:cs="Symbol" w:hint="default"/>
      <w:color w:val="auto"/>
      <w:sz w:val="20"/>
      <w:szCs w:val="32"/>
    </w:rPr>
  </w:style>
  <w:style w:type="character" w:customStyle="1" w:styleId="WW8Num74z1">
    <w:name w:val="WW8Num74z1"/>
    <w:rPr>
      <w:rFonts w:ascii="OpenSymbol" w:hAnsi="OpenSymbol" w:cs="OpenSymbol"/>
    </w:rPr>
  </w:style>
  <w:style w:type="character" w:customStyle="1" w:styleId="WW8Num74z3">
    <w:name w:val="WW8Num74z3"/>
    <w:rPr>
      <w:rFonts w:ascii="Symbol" w:hAnsi="Symbol" w:cs="OpenSymbol"/>
      <w:color w:val="auto"/>
    </w:rPr>
  </w:style>
  <w:style w:type="character" w:customStyle="1" w:styleId="WW8Num75z0">
    <w:name w:val="WW8Num75z0"/>
    <w:rPr>
      <w:rFonts w:ascii="Bookman Old Style" w:hAnsi="Bookman Old Style" w:cs="Symbol" w:hint="default"/>
      <w:sz w:val="20"/>
      <w:szCs w:val="32"/>
    </w:rPr>
  </w:style>
  <w:style w:type="character" w:customStyle="1" w:styleId="WW8Num76z0">
    <w:name w:val="WW8Num76z0"/>
    <w:rPr>
      <w:rFonts w:ascii="Symbol" w:hAnsi="Symbol" w:cs="Symbol" w:hint="default"/>
      <w:sz w:val="20"/>
      <w:szCs w:val="32"/>
    </w:rPr>
  </w:style>
  <w:style w:type="character" w:customStyle="1" w:styleId="WW8Num77z0">
    <w:name w:val="WW8Num77z0"/>
    <w:rPr>
      <w:rFonts w:ascii="Symbol" w:hAnsi="Symbol" w:cs="Symbol" w:hint="default"/>
      <w:caps w:val="0"/>
      <w:smallCaps w:val="0"/>
      <w:sz w:val="20"/>
      <w:szCs w:val="20"/>
      <w:lang w:val="it-IT"/>
    </w:rPr>
  </w:style>
  <w:style w:type="character" w:customStyle="1" w:styleId="WW8Num77z1">
    <w:name w:val="WW8Num77z1"/>
    <w:rPr>
      <w:rFonts w:ascii="OpenSymbol" w:hAnsi="OpenSymbol" w:cs="OpenSymbol"/>
    </w:rPr>
  </w:style>
  <w:style w:type="character" w:customStyle="1" w:styleId="WW8Num77z3">
    <w:name w:val="WW8Num77z3"/>
    <w:rPr>
      <w:rFonts w:ascii="Symbol" w:hAnsi="Symbol" w:cs="Symbol"/>
    </w:rPr>
  </w:style>
  <w:style w:type="character" w:customStyle="1" w:styleId="WW8Num78z0">
    <w:name w:val="WW8Num78z0"/>
    <w:rPr>
      <w:rFonts w:ascii="Symbol" w:hAnsi="Symbol" w:cs="Symbol" w:hint="default"/>
      <w:color w:val="C9211E"/>
      <w:sz w:val="28"/>
      <w:szCs w:val="28"/>
      <w:lang w:eastAsia="it-IT"/>
    </w:rPr>
  </w:style>
  <w:style w:type="character" w:customStyle="1" w:styleId="WW8Num32z6">
    <w:name w:val="WW8Num32z6"/>
    <w:rPr>
      <w:rFonts w:ascii="Symbol" w:hAnsi="Symbol" w:cs="Symbol"/>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OpenSymbol" w:hAnsi="OpenSymbol" w:cs="OpenSymbol"/>
    </w:rPr>
  </w:style>
  <w:style w:type="character" w:customStyle="1" w:styleId="WW8Num35z3">
    <w:name w:val="WW8Num35z3"/>
    <w:rPr>
      <w:rFonts w:ascii="Symbol" w:hAnsi="Symbol" w:cs="OpenSymbol"/>
    </w:rPr>
  </w:style>
  <w:style w:type="character" w:customStyle="1" w:styleId="WW8Num36z1">
    <w:name w:val="WW8Num36z1"/>
    <w:rPr>
      <w:rFonts w:ascii="OpenSymbol" w:hAnsi="OpenSymbol" w:cs="OpenSymbol"/>
    </w:rPr>
  </w:style>
  <w:style w:type="character" w:customStyle="1" w:styleId="WW8Num36z3">
    <w:name w:val="WW8Num36z3"/>
    <w:rPr>
      <w:rFonts w:ascii="Symbol" w:hAnsi="Symbol" w:cs="OpenSymbol"/>
    </w:rPr>
  </w:style>
  <w:style w:type="character" w:customStyle="1" w:styleId="WW8Num43z1">
    <w:name w:val="WW8Num43z1"/>
    <w:rPr>
      <w:rFonts w:ascii="OpenSymbol" w:hAnsi="OpenSymbol" w:cs="OpenSymbol"/>
    </w:rPr>
  </w:style>
  <w:style w:type="character" w:customStyle="1" w:styleId="WW8Num43z3">
    <w:name w:val="WW8Num43z3"/>
    <w:rPr>
      <w:rFonts w:ascii="Symbol" w:hAnsi="Symbol" w:cs="OpenSymbol"/>
      <w:color w:val="auto"/>
    </w:rPr>
  </w:style>
  <w:style w:type="character" w:customStyle="1" w:styleId="WW8Num45z1">
    <w:name w:val="WW8Num45z1"/>
    <w:rPr>
      <w:rFonts w:ascii="OpenSymbol" w:hAnsi="OpenSymbol" w:cs="OpenSymbol"/>
    </w:rPr>
  </w:style>
  <w:style w:type="character" w:customStyle="1" w:styleId="WW8Num45z3">
    <w:name w:val="WW8Num45z3"/>
    <w:rPr>
      <w:rFonts w:ascii="Symbol" w:hAnsi="Symbol" w:cs="OpenSymbol"/>
    </w:rPr>
  </w:style>
  <w:style w:type="character" w:customStyle="1" w:styleId="WW8Num47z1">
    <w:name w:val="WW8Num47z1"/>
    <w:rPr>
      <w:rFonts w:ascii="Tahoma" w:hAnsi="Tahoma" w:cs="Tahoma" w:hint="default"/>
      <w:sz w:val="20"/>
      <w:szCs w:val="20"/>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54z1">
    <w:name w:val="WW8Num54z1"/>
    <w:rPr>
      <w:rFonts w:ascii="Tahoma" w:hAnsi="Tahoma" w:cs="Tahoma" w:hint="default"/>
      <w:iCs/>
      <w:sz w:val="20"/>
      <w:szCs w:val="20"/>
    </w:rPr>
  </w:style>
  <w:style w:type="character" w:customStyle="1" w:styleId="WW8Num54z2">
    <w:name w:val="WW8Num54z2"/>
    <w:rPr>
      <w:rFonts w:ascii="Wingdings" w:hAnsi="Wingdings" w:cs="Wingdings" w:hint="default"/>
    </w:rPr>
  </w:style>
  <w:style w:type="character" w:customStyle="1" w:styleId="WW8Num54z3">
    <w:name w:val="WW8Num54z3"/>
    <w:rPr>
      <w:rFonts w:ascii="Symbol" w:hAnsi="Symbol" w:cs="Symbol" w:hint="default"/>
    </w:rPr>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9z2">
    <w:name w:val="WW8Num59z2"/>
    <w:rPr>
      <w:rFonts w:ascii="Liberation Serif" w:hAnsi="Liberation Serif" w:cs="Liberation Serif" w:hint="default"/>
    </w:rPr>
  </w:style>
  <w:style w:type="character" w:customStyle="1" w:styleId="WW8Num60z2">
    <w:name w:val="WW8Num60z2"/>
    <w:rPr>
      <w:rFonts w:ascii="Liberation Serif" w:hAnsi="Liberation Serif" w:cs="Liberation Serif" w:hint="default"/>
    </w:rPr>
  </w:style>
  <w:style w:type="character" w:customStyle="1" w:styleId="WW8Num66z2">
    <w:name w:val="WW8Num66z2"/>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3">
    <w:name w:val="WW8Num67z3"/>
    <w:rPr>
      <w:rFonts w:ascii="Symbol" w:hAnsi="Symbol" w:cs="OpenSymbol"/>
      <w:color w:val="C9211E"/>
      <w:sz w:val="20"/>
      <w:szCs w:val="20"/>
    </w:rPr>
  </w:style>
  <w:style w:type="character" w:customStyle="1" w:styleId="WW8Num69z3">
    <w:name w:val="WW8Num69z3"/>
    <w:rPr>
      <w:rFonts w:ascii="Symbol" w:hAnsi="Symbol" w:cs="OpenSymbol"/>
      <w:color w:val="C9211E"/>
      <w:sz w:val="20"/>
      <w:szCs w:val="20"/>
    </w:rPr>
  </w:style>
  <w:style w:type="character" w:customStyle="1" w:styleId="WW8Num70z3">
    <w:name w:val="WW8Num70z3"/>
    <w:rPr>
      <w:rFonts w:ascii="Symbol" w:hAnsi="Symbol" w:cs="OpenSymbol"/>
      <w:color w:val="C9211E"/>
      <w:sz w:val="20"/>
      <w:szCs w:val="20"/>
    </w:rPr>
  </w:style>
  <w:style w:type="character" w:customStyle="1" w:styleId="WW8Num72z3">
    <w:name w:val="WW8Num72z3"/>
    <w:rPr>
      <w:rFonts w:ascii="Symbol" w:hAnsi="Symbol" w:cs="OpenSymbol"/>
      <w:color w:val="C9211E"/>
      <w:sz w:val="20"/>
      <w:szCs w:val="20"/>
    </w:rPr>
  </w:style>
  <w:style w:type="character" w:customStyle="1" w:styleId="WW8Num75z1">
    <w:name w:val="WW8Num75z1"/>
    <w:rPr>
      <w:rFonts w:ascii="OpenSymbol" w:hAnsi="OpenSymbol" w:cs="OpenSymbol"/>
    </w:rPr>
  </w:style>
  <w:style w:type="character" w:customStyle="1" w:styleId="WW8Num76z1">
    <w:name w:val="WW8Num76z1"/>
    <w:rPr>
      <w:rFonts w:ascii="OpenSymbol" w:hAnsi="OpenSymbol" w:cs="OpenSymbol"/>
    </w:rPr>
  </w:style>
  <w:style w:type="character" w:customStyle="1" w:styleId="WW8Num78z1">
    <w:name w:val="WW8Num78z1"/>
    <w:rPr>
      <w:rFonts w:ascii="OpenSymbol" w:hAnsi="OpenSymbol" w:cs="OpenSymbol"/>
    </w:rPr>
  </w:style>
  <w:style w:type="character" w:customStyle="1" w:styleId="WW8Num78z3">
    <w:name w:val="WW8Num78z3"/>
    <w:rPr>
      <w:rFonts w:ascii="Symbol" w:hAnsi="Symbol" w:cs="OpenSymbol"/>
      <w:color w:val="auto"/>
    </w:rPr>
  </w:style>
  <w:style w:type="character" w:customStyle="1" w:styleId="WW8Num79z0">
    <w:name w:val="WW8Num79z0"/>
    <w:rPr>
      <w:rFonts w:ascii="Bookman Old Style" w:hAnsi="Bookman Old Style" w:cs="Symbol" w:hint="default"/>
      <w:sz w:val="20"/>
      <w:szCs w:val="32"/>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WW8Num80z0">
    <w:name w:val="WW8Num80z0"/>
    <w:rPr>
      <w:rFonts w:ascii="Symbol" w:hAnsi="Symbol" w:cs="Symbol" w:hint="default"/>
      <w:sz w:val="20"/>
      <w:szCs w:val="32"/>
    </w:rPr>
  </w:style>
  <w:style w:type="character" w:customStyle="1" w:styleId="WW8Num80z1">
    <w:name w:val="WW8Num80z1"/>
    <w:rPr>
      <w:rFonts w:ascii="Courier New" w:hAnsi="Courier New" w:cs="Courier New" w:hint="default"/>
    </w:rPr>
  </w:style>
  <w:style w:type="character" w:customStyle="1" w:styleId="WW8Num80z2">
    <w:name w:val="WW8Num80z2"/>
    <w:rPr>
      <w:rFonts w:ascii="Wingdings" w:hAnsi="Wingdings" w:cs="Wingdings" w:hint="default"/>
    </w:rPr>
  </w:style>
  <w:style w:type="character" w:customStyle="1" w:styleId="WW8Num80z3">
    <w:name w:val="WW8Num80z3"/>
    <w:rPr>
      <w:rFonts w:ascii="Symbol" w:hAnsi="Symbol" w:cs="Symbol" w:hint="default"/>
    </w:rPr>
  </w:style>
  <w:style w:type="character" w:customStyle="1" w:styleId="WW8Num81z0">
    <w:name w:val="WW8Num81z0"/>
    <w:rPr>
      <w:rFonts w:ascii="Symbol" w:hAnsi="Symbol" w:cs="Symbol" w:hint="default"/>
      <w:caps w:val="0"/>
      <w:smallCaps w:val="0"/>
      <w:sz w:val="20"/>
      <w:szCs w:val="20"/>
      <w:lang w:val="it-IT"/>
    </w:rPr>
  </w:style>
  <w:style w:type="character" w:customStyle="1" w:styleId="WW8Num81z1">
    <w:name w:val="WW8Num81z1"/>
    <w:rPr>
      <w:rFonts w:ascii="OpenSymbol" w:hAnsi="OpenSymbol" w:cs="OpenSymbol"/>
    </w:rPr>
  </w:style>
  <w:style w:type="character" w:customStyle="1" w:styleId="WW8Num81z3">
    <w:name w:val="WW8Num81z3"/>
    <w:rPr>
      <w:rFonts w:ascii="Symbol" w:hAnsi="Symbol" w:cs="Symbol"/>
    </w:rPr>
  </w:style>
  <w:style w:type="character" w:customStyle="1" w:styleId="WW8Num82z0">
    <w:name w:val="WW8Num82z0"/>
    <w:rPr>
      <w:rFonts w:ascii="Symbol" w:hAnsi="Symbol" w:cs="Symbol" w:hint="default"/>
      <w:sz w:val="28"/>
      <w:szCs w:val="28"/>
      <w:lang w:eastAsia="it-I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2z3">
    <w:name w:val="WW8Num82z3"/>
    <w:rPr>
      <w:rFonts w:ascii="Symbol" w:hAnsi="Symbol" w:cs="Symbol" w:hint="default"/>
    </w:rPr>
  </w:style>
  <w:style w:type="character" w:customStyle="1" w:styleId="Carpredefinitoparagrafo15">
    <w:name w:val="Car. predefinito paragrafo15"/>
  </w:style>
  <w:style w:type="character" w:customStyle="1" w:styleId="WW8Num25z3">
    <w:name w:val="WW8Num25z3"/>
    <w:rPr>
      <w:rFonts w:ascii="Bookman Old Style" w:hAnsi="Bookman Old Style" w:cs="Symbol" w:hint="default"/>
      <w:sz w:val="20"/>
      <w:szCs w:val="20"/>
    </w:rPr>
  </w:style>
  <w:style w:type="character" w:customStyle="1" w:styleId="WW8Num45z2">
    <w:name w:val="WW8Num45z2"/>
    <w:rPr>
      <w:rFonts w:ascii="Liberation Serif" w:hAnsi="Liberation Serif" w:cs="Liberation Serif" w:hint="default"/>
    </w:rPr>
  </w:style>
  <w:style w:type="character" w:customStyle="1" w:styleId="WW8Num46z1">
    <w:name w:val="WW8Num46z1"/>
    <w:rPr>
      <w:rFonts w:ascii="OpenSymbol" w:hAnsi="OpenSymbol" w:cs="OpenSymbol"/>
    </w:rPr>
  </w:style>
  <w:style w:type="character" w:customStyle="1" w:styleId="WW8Num46z3">
    <w:name w:val="WW8Num46z3"/>
    <w:rPr>
      <w:rFonts w:ascii="Symbol" w:hAnsi="Symbol" w:cs="OpenSymbol"/>
    </w:rPr>
  </w:style>
  <w:style w:type="character" w:customStyle="1" w:styleId="WW8Num48z1">
    <w:name w:val="WW8Num48z1"/>
    <w:rPr>
      <w:rFonts w:ascii="Tahoma" w:hAnsi="Tahoma" w:cs="Tahoma" w:hint="default"/>
      <w:sz w:val="20"/>
      <w:szCs w:val="20"/>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55z1">
    <w:name w:val="WW8Num55z1"/>
    <w:rPr>
      <w:rFonts w:ascii="Tahoma" w:hAnsi="Tahoma" w:cs="Tahoma" w:hint="default"/>
      <w:iCs/>
      <w:sz w:val="20"/>
      <w:szCs w:val="20"/>
    </w:rPr>
  </w:style>
  <w:style w:type="character" w:customStyle="1" w:styleId="WW8Num55z2">
    <w:name w:val="WW8Num55z2"/>
    <w:rPr>
      <w:rFonts w:ascii="Wingdings" w:hAnsi="Wingdings" w:cs="Wingdings" w:hint="default"/>
    </w:rPr>
  </w:style>
  <w:style w:type="character" w:customStyle="1" w:styleId="WW8Num55z3">
    <w:name w:val="WW8Num55z3"/>
    <w:rPr>
      <w:rFonts w:ascii="Symbol" w:hAnsi="Symbol" w:cs="Symbol" w:hint="default"/>
    </w:rPr>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61z2">
    <w:name w:val="WW8Num61z2"/>
    <w:rPr>
      <w:rFonts w:ascii="Liberation Serif" w:hAnsi="Liberation Serif" w:cs="Liberation Serif" w:hint="default"/>
    </w:rPr>
  </w:style>
  <w:style w:type="character" w:customStyle="1" w:styleId="WW8Num64z4">
    <w:name w:val="WW8Num64z4"/>
    <w:rPr>
      <w:rFonts w:ascii="Bookman Old Style" w:hAnsi="Bookman Old Style" w:cs="Symbol" w:hint="default"/>
      <w:sz w:val="20"/>
      <w:szCs w:val="32"/>
      <w:lang w:val="it-IT"/>
    </w:rPr>
  </w:style>
  <w:style w:type="character" w:customStyle="1" w:styleId="WW8Num69z2">
    <w:name w:val="WW8Num69z2"/>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21z1">
    <w:name w:val="WW8Num21z1"/>
    <w:rPr>
      <w:rFonts w:ascii="Tahoma" w:eastAsia="CenturyGothic" w:hAnsi="Tahoma" w:cs="Tahoma" w:hint="default"/>
      <w:sz w:val="20"/>
      <w:szCs w:val="20"/>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5z4">
    <w:name w:val="WW8Num25z4"/>
    <w:rPr>
      <w:rFonts w:ascii="Courier New" w:hAnsi="Courier New" w:cs="Courier New" w:hint="default"/>
    </w:rPr>
  </w:style>
  <w:style w:type="character" w:customStyle="1" w:styleId="WW8Num25z5">
    <w:name w:val="WW8Num25z5"/>
  </w:style>
  <w:style w:type="character" w:customStyle="1" w:styleId="WW8Num25z7">
    <w:name w:val="WW8Num25z7"/>
  </w:style>
  <w:style w:type="character" w:customStyle="1" w:styleId="WW8Num25z8">
    <w:name w:val="WW8Num25z8"/>
  </w:style>
  <w:style w:type="character" w:customStyle="1" w:styleId="WW8Num27z1">
    <w:name w:val="WW8Num27z1"/>
    <w:rPr>
      <w:rFonts w:ascii="Tahoma" w:eastAsia="CenturyGothic" w:hAnsi="Tahoma" w:cs="Tahoma"/>
      <w:color w:val="auto"/>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9z2">
    <w:name w:val="WW8Num29z2"/>
    <w:rPr>
      <w:rFonts w:ascii="Wingdings" w:hAnsi="Wingdings" w:cs="Times New Roman" w:hint="default"/>
      <w:b/>
      <w:i/>
      <w:caps w:val="0"/>
      <w:smallCaps w:val="0"/>
      <w:strike w:val="0"/>
      <w:dstrike w:val="0"/>
      <w:vanish w:val="0"/>
      <w:position w:val="0"/>
      <w:sz w:val="24"/>
      <w:vertAlign w:val="baseline"/>
    </w:rPr>
  </w:style>
  <w:style w:type="character" w:customStyle="1" w:styleId="WW8Num29z6">
    <w:name w:val="WW8Num29z6"/>
    <w:rPr>
      <w:rFonts w:ascii="Symbol" w:hAnsi="Symbol" w:cs="Symbol"/>
    </w:rPr>
  </w:style>
  <w:style w:type="character" w:customStyle="1" w:styleId="WW8Num30z2">
    <w:name w:val="WW8Num30z2"/>
    <w:rPr>
      <w:rFonts w:ascii="Wingdings" w:hAnsi="Wingdings" w:cs="Wingdings" w:hint="default"/>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8z1">
    <w:name w:val="WW8Num38z1"/>
    <w:rPr>
      <w:rFonts w:ascii="OpenSymbol" w:hAnsi="OpenSymbol" w:cs="Courier New" w:hint="default"/>
      <w:sz w:val="20"/>
      <w:szCs w:val="20"/>
    </w:rPr>
  </w:style>
  <w:style w:type="character" w:customStyle="1" w:styleId="WW8Num38z3">
    <w:name w:val="WW8Num38z3"/>
    <w:rPr>
      <w:rFonts w:ascii="Symbol" w:hAnsi="Symbol" w:cs="Times New Roman" w:hint="default"/>
      <w:w w:val="106"/>
      <w:sz w:val="20"/>
      <w:szCs w:val="20"/>
      <w:lang w:val="it-IT" w:bidi="it-IT"/>
    </w:rPr>
  </w:style>
  <w:style w:type="character" w:customStyle="1" w:styleId="WW8Num39z1">
    <w:name w:val="WW8Num39z1"/>
    <w:rPr>
      <w:rFonts w:ascii="OpenSymbol" w:hAnsi="OpenSymbol" w:cs="Courier New" w:hint="default"/>
      <w:sz w:val="20"/>
      <w:szCs w:val="20"/>
    </w:rPr>
  </w:style>
  <w:style w:type="character" w:customStyle="1" w:styleId="WW8Num39z3">
    <w:name w:val="WW8Num39z3"/>
    <w:rPr>
      <w:rFonts w:ascii="Symbol" w:hAnsi="Symbol" w:cs="Symbol" w:hint="default"/>
    </w:rPr>
  </w:style>
  <w:style w:type="character" w:customStyle="1" w:styleId="WW8Num40z2">
    <w:name w:val="WW8Num40z2"/>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6">
    <w:name w:val="WW8Num42z6"/>
    <w:rPr>
      <w:rFonts w:ascii="Symbol" w:hAnsi="Symbol" w:cs="Symbol"/>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9z1">
    <w:name w:val="WW8Num49z1"/>
    <w:rPr>
      <w:rFonts w:ascii="OpenSymbol" w:hAnsi="OpenSymbol" w:cs="OpenSymbol"/>
    </w:rPr>
  </w:style>
  <w:style w:type="character" w:customStyle="1" w:styleId="WW8Num49z3">
    <w:name w:val="WW8Num49z3"/>
    <w:rPr>
      <w:rFonts w:ascii="Symbol" w:hAnsi="Symbol" w:cs="OpenSymbol"/>
    </w:rPr>
  </w:style>
  <w:style w:type="character" w:customStyle="1" w:styleId="WW8Num50z1">
    <w:name w:val="WW8Num50z1"/>
    <w:rPr>
      <w:rFonts w:ascii="OpenSymbol" w:hAnsi="OpenSymbol" w:cs="OpenSymbol"/>
    </w:rPr>
  </w:style>
  <w:style w:type="character" w:customStyle="1" w:styleId="WW8Num50z3">
    <w:name w:val="WW8Num50z3"/>
    <w:rPr>
      <w:rFonts w:ascii="Symbol" w:hAnsi="Symbol" w:cs="OpenSymbol"/>
      <w:color w:val="auto"/>
      <w:sz w:val="20"/>
      <w:szCs w:val="20"/>
    </w:rPr>
  </w:style>
  <w:style w:type="character" w:customStyle="1" w:styleId="WW8Num52z1">
    <w:name w:val="WW8Num52z1"/>
    <w:rPr>
      <w:rFonts w:ascii="OpenSymbol" w:hAnsi="OpenSymbol" w:cs="OpenSymbol"/>
    </w:rPr>
  </w:style>
  <w:style w:type="character" w:customStyle="1" w:styleId="WW8Num52z3">
    <w:name w:val="WW8Num52z3"/>
    <w:rPr>
      <w:rFonts w:ascii="Symbol" w:hAnsi="Symbol" w:cs="OpenSymbol"/>
    </w:rPr>
  </w:style>
  <w:style w:type="character" w:customStyle="1" w:styleId="WW8Num71z3">
    <w:name w:val="WW8Num71z3"/>
    <w:rPr>
      <w:rFonts w:ascii="Symbol" w:hAnsi="Symbol" w:cs="OpenSymbol"/>
      <w:color w:val="auto"/>
    </w:rPr>
  </w:style>
  <w:style w:type="character" w:customStyle="1" w:styleId="WW8Num78z2">
    <w:name w:val="WW8Num78z2"/>
    <w:rPr>
      <w:rFonts w:ascii="Wingdings" w:hAnsi="Wingdings" w:cs="Wingdings" w:hint="default"/>
    </w:rPr>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83z0">
    <w:name w:val="WW8Num83z0"/>
    <w:rPr>
      <w:rFonts w:ascii="Bookman Old Style" w:hAnsi="Bookman Old Style" w:cs="OpenSymbol" w:hint="default"/>
      <w:color w:val="auto"/>
      <w:sz w:val="20"/>
      <w:szCs w:val="20"/>
    </w:rPr>
  </w:style>
  <w:style w:type="character" w:customStyle="1" w:styleId="WW8Num83z1">
    <w:name w:val="WW8Num83z1"/>
    <w:rPr>
      <w:rFonts w:ascii="OpenSymbol" w:hAnsi="OpenSymbol" w:cs="OpenSymbol"/>
    </w:rPr>
  </w:style>
  <w:style w:type="character" w:customStyle="1" w:styleId="WW8Num83z3">
    <w:name w:val="WW8Num83z3"/>
    <w:rPr>
      <w:rFonts w:ascii="Symbol" w:hAnsi="Symbol" w:cs="OpenSymbol"/>
      <w:color w:val="auto"/>
    </w:rPr>
  </w:style>
  <w:style w:type="character" w:customStyle="1" w:styleId="WW8Num84z0">
    <w:name w:val="WW8Num84z0"/>
    <w:rPr>
      <w:rFonts w:ascii="Symbol" w:hAnsi="Symbol" w:cs="Symbol" w:hint="default"/>
      <w:szCs w:val="20"/>
    </w:rPr>
  </w:style>
  <w:style w:type="character" w:customStyle="1" w:styleId="WW8Num85z0">
    <w:name w:val="WW8Num85z0"/>
    <w:rPr>
      <w:rFonts w:ascii="Bookman Old Style" w:hAnsi="Bookman Old Style" w:cs="OpenSymbol"/>
      <w:sz w:val="20"/>
      <w:szCs w:val="20"/>
    </w:rPr>
  </w:style>
  <w:style w:type="character" w:customStyle="1" w:styleId="WW8Num86z0">
    <w:name w:val="WW8Num86z0"/>
    <w:rPr>
      <w:rFonts w:ascii="Bookman Old Style" w:eastAsia="Calibri" w:hAnsi="Bookman Old Style" w:cs="OpenSymbol" w:hint="default"/>
      <w:w w:val="99"/>
      <w:sz w:val="20"/>
      <w:szCs w:val="20"/>
      <w:lang w:val="it-IT"/>
    </w:rPr>
  </w:style>
  <w:style w:type="character" w:customStyle="1" w:styleId="WW8Num86z1">
    <w:name w:val="WW8Num86z1"/>
    <w:rPr>
      <w:rFonts w:ascii="Bookman Old Style" w:eastAsia="Calibri" w:hAnsi="Bookman Old Style" w:cs="Symbol" w:hint="default"/>
      <w:w w:val="99"/>
      <w:sz w:val="20"/>
      <w:szCs w:val="32"/>
      <w:lang w:val="it-IT"/>
    </w:rPr>
  </w:style>
  <w:style w:type="character" w:customStyle="1" w:styleId="WW8Num86z2">
    <w:name w:val="WW8Num86z2"/>
    <w:rPr>
      <w:rFonts w:ascii="Liberation Serif" w:hAnsi="Liberation Serif" w:cs="Liberation Serif" w:hint="default"/>
    </w:rPr>
  </w:style>
  <w:style w:type="character" w:customStyle="1" w:styleId="WW8Num87z0">
    <w:name w:val="WW8Num87z0"/>
    <w:rPr>
      <w:rFonts w:ascii="Bookman Old Style" w:eastAsia="Calibri" w:hAnsi="Bookman Old Style" w:cs="OpenSymbol" w:hint="default"/>
      <w:w w:val="99"/>
      <w:sz w:val="20"/>
      <w:szCs w:val="20"/>
      <w:lang w:val="it-IT"/>
    </w:rPr>
  </w:style>
  <w:style w:type="character" w:customStyle="1" w:styleId="WW8Num87z1">
    <w:name w:val="WW8Num87z1"/>
    <w:rPr>
      <w:rFonts w:ascii="Bookman Old Style" w:hAnsi="Bookman Old Style" w:cs="Symbol" w:hint="default"/>
      <w:w w:val="99"/>
      <w:sz w:val="20"/>
      <w:szCs w:val="32"/>
      <w:lang w:val="it-IT"/>
    </w:rPr>
  </w:style>
  <w:style w:type="character" w:customStyle="1" w:styleId="WW8Num87z2">
    <w:name w:val="WW8Num87z2"/>
    <w:rPr>
      <w:rFonts w:ascii="Liberation Serif" w:hAnsi="Liberation Serif" w:cs="Liberation Serif" w:hint="default"/>
    </w:rPr>
  </w:style>
  <w:style w:type="character" w:customStyle="1" w:styleId="WW8Num88z0">
    <w:name w:val="WW8Num88z0"/>
    <w:rPr>
      <w:rFonts w:ascii="Bookman Old Style" w:hAnsi="Bookman Old Style" w:cs="OpenSymbol" w:hint="default"/>
      <w:color w:val="auto"/>
      <w:sz w:val="20"/>
      <w:szCs w:val="20"/>
    </w:rPr>
  </w:style>
  <w:style w:type="character" w:customStyle="1" w:styleId="WW8Num88z1">
    <w:name w:val="WW8Num88z1"/>
    <w:rPr>
      <w:rFonts w:ascii="OpenSymbol" w:hAnsi="OpenSymbol" w:cs="OpenSymbol"/>
    </w:rPr>
  </w:style>
  <w:style w:type="character" w:customStyle="1" w:styleId="WW8Num88z3">
    <w:name w:val="WW8Num88z3"/>
    <w:rPr>
      <w:rFonts w:ascii="Symbol" w:hAnsi="Symbol" w:cs="OpenSymbol"/>
      <w:color w:val="auto"/>
    </w:rPr>
  </w:style>
  <w:style w:type="character" w:customStyle="1" w:styleId="WW8Num89z0">
    <w:name w:val="WW8Num89z0"/>
    <w:rPr>
      <w:rFonts w:ascii="Bookman Old Style" w:hAnsi="Bookman Old Style" w:cs="OpenSymbol" w:hint="default"/>
      <w:color w:val="auto"/>
      <w:sz w:val="20"/>
      <w:szCs w:val="20"/>
    </w:rPr>
  </w:style>
  <w:style w:type="character" w:customStyle="1" w:styleId="WW8Num89z1">
    <w:name w:val="WW8Num89z1"/>
    <w:rPr>
      <w:rFonts w:ascii="OpenSymbol" w:hAnsi="OpenSymbol" w:cs="OpenSymbol"/>
    </w:rPr>
  </w:style>
  <w:style w:type="character" w:customStyle="1" w:styleId="WW8Num89z3">
    <w:name w:val="WW8Num89z3"/>
    <w:rPr>
      <w:rFonts w:ascii="Symbol" w:hAnsi="Symbol" w:cs="OpenSymbol"/>
      <w:color w:val="auto"/>
    </w:rPr>
  </w:style>
  <w:style w:type="character" w:customStyle="1" w:styleId="WW8Num90z0">
    <w:name w:val="WW8Num90z0"/>
    <w:rPr>
      <w:rFonts w:ascii="Bookman Old Style" w:hAnsi="Bookman Old Style" w:cs="Tahoma" w:hint="default"/>
      <w:sz w:val="20"/>
      <w:szCs w:val="20"/>
      <w:lang w:val="it-IT"/>
    </w:rPr>
  </w:style>
  <w:style w:type="character" w:customStyle="1" w:styleId="WW8Num90z1">
    <w:name w:val="WW8Num90z1"/>
    <w:rPr>
      <w:rFonts w:ascii="Symbol" w:hAnsi="Symbol" w:cs="Symbol"/>
      <w:lang w:val="it-IT"/>
    </w:rPr>
  </w:style>
  <w:style w:type="character" w:customStyle="1" w:styleId="WW8Num90z4">
    <w:name w:val="WW8Num90z4"/>
    <w:rPr>
      <w:rFonts w:ascii="Bookman Old Style" w:hAnsi="Bookman Old Style" w:cs="Symbol" w:hint="default"/>
      <w:sz w:val="20"/>
      <w:szCs w:val="32"/>
      <w:lang w:val="it-IT"/>
    </w:rPr>
  </w:style>
  <w:style w:type="character" w:customStyle="1" w:styleId="WW8Num91z0">
    <w:name w:val="WW8Num91z0"/>
    <w:rPr>
      <w:rFonts w:ascii="Bookman Old Style" w:hAnsi="Bookman Old Style" w:cs="OpenSymbol" w:hint="default"/>
      <w:color w:val="auto"/>
      <w:sz w:val="20"/>
      <w:szCs w:val="20"/>
    </w:rPr>
  </w:style>
  <w:style w:type="character" w:customStyle="1" w:styleId="WW8Num91z1">
    <w:name w:val="WW8Num91z1"/>
    <w:rPr>
      <w:rFonts w:ascii="OpenSymbol" w:hAnsi="OpenSymbol" w:cs="OpenSymbol"/>
    </w:rPr>
  </w:style>
  <w:style w:type="character" w:customStyle="1" w:styleId="WW8Num91z3">
    <w:name w:val="WW8Num91z3"/>
    <w:rPr>
      <w:rFonts w:ascii="Symbol" w:hAnsi="Symbol" w:cs="OpenSymbol"/>
      <w:color w:val="auto"/>
    </w:rPr>
  </w:style>
  <w:style w:type="character" w:customStyle="1" w:styleId="WW8Num92z0">
    <w:name w:val="WW8Num92z0"/>
    <w:rPr>
      <w:rFonts w:ascii="Bookman Old Style" w:hAnsi="Bookman Old Style" w:cs="OpenSymbol" w:hint="default"/>
      <w:w w:val="106"/>
      <w:sz w:val="20"/>
      <w:szCs w:val="20"/>
      <w:lang w:val="it-IT" w:bidi="it-IT"/>
    </w:rPr>
  </w:style>
  <w:style w:type="character" w:customStyle="1" w:styleId="WW8Num92z1">
    <w:name w:val="WW8Num92z1"/>
    <w:rPr>
      <w:rFonts w:ascii="OpenSymbol" w:hAnsi="OpenSymbol" w:cs="Courier New" w:hint="default"/>
      <w:sz w:val="20"/>
      <w:szCs w:val="20"/>
    </w:rPr>
  </w:style>
  <w:style w:type="character" w:customStyle="1" w:styleId="WW8Num92z3">
    <w:name w:val="WW8Num92z3"/>
    <w:rPr>
      <w:rFonts w:ascii="Symbol" w:hAnsi="Symbol" w:cs="Times New Roman" w:hint="default"/>
      <w:w w:val="106"/>
      <w:sz w:val="20"/>
      <w:szCs w:val="20"/>
      <w:lang w:val="it-IT" w:bidi="it-IT"/>
    </w:rPr>
  </w:style>
  <w:style w:type="character" w:customStyle="1" w:styleId="WW8Num93z0">
    <w:name w:val="WW8Num93z0"/>
    <w:rPr>
      <w:rFonts w:ascii="Symbol" w:hAnsi="Symbol" w:cs="OpenSymbol"/>
      <w:color w:val="000000"/>
      <w:sz w:val="20"/>
      <w:szCs w:val="20"/>
      <w:lang w:val="it-IT" w:eastAsia="zh-CN" w:bidi="ar-SA"/>
    </w:rPr>
  </w:style>
  <w:style w:type="character" w:customStyle="1" w:styleId="WW8Num93z1">
    <w:name w:val="WW8Num93z1"/>
    <w:rPr>
      <w:rFonts w:ascii="OpenSymbol" w:hAnsi="OpenSymbol" w:cs="OpenSymbol"/>
    </w:rPr>
  </w:style>
  <w:style w:type="character" w:customStyle="1" w:styleId="WW8Num93z3">
    <w:name w:val="WW8Num93z3"/>
    <w:rPr>
      <w:rFonts w:ascii="Symbol" w:hAnsi="Symbol" w:cs="OpenSymbol"/>
      <w:color w:val="C9211E"/>
      <w:sz w:val="20"/>
      <w:szCs w:val="20"/>
      <w:lang w:val="it-IT" w:eastAsia="zh-CN" w:bidi="ar-SA"/>
    </w:rPr>
  </w:style>
  <w:style w:type="character" w:customStyle="1" w:styleId="WW8Num94z0">
    <w:name w:val="WW8Num94z0"/>
    <w:rPr>
      <w:rFonts w:ascii="Symbol" w:hAnsi="Symbol" w:cs="OpenSymbol"/>
      <w:color w:val="000000"/>
      <w:sz w:val="20"/>
      <w:szCs w:val="24"/>
      <w:lang w:val="it-IT" w:eastAsia="zh-CN" w:bidi="ar-SA"/>
    </w:rPr>
  </w:style>
  <w:style w:type="character" w:customStyle="1" w:styleId="WW8Num94z1">
    <w:name w:val="WW8Num94z1"/>
    <w:rPr>
      <w:rFonts w:ascii="OpenSymbol" w:hAnsi="OpenSymbol" w:cs="OpenSymbol"/>
    </w:rPr>
  </w:style>
  <w:style w:type="character" w:customStyle="1" w:styleId="WW8Num94z3">
    <w:name w:val="WW8Num94z3"/>
    <w:rPr>
      <w:rFonts w:ascii="Symbol" w:hAnsi="Symbol" w:cs="OpenSymbol"/>
      <w:color w:val="C9211E"/>
      <w:sz w:val="20"/>
      <w:szCs w:val="24"/>
      <w:lang w:val="it-IT" w:eastAsia="zh-CN" w:bidi="ar-SA"/>
    </w:rPr>
  </w:style>
  <w:style w:type="character" w:customStyle="1" w:styleId="WW8Num95z0">
    <w:name w:val="WW8Num95z0"/>
    <w:rPr>
      <w:rFonts w:ascii="Symbol" w:hAnsi="Symbol" w:cs="OpenSymbol"/>
    </w:rPr>
  </w:style>
  <w:style w:type="character" w:customStyle="1" w:styleId="WW8Num95z1">
    <w:name w:val="WW8Num95z1"/>
    <w:rPr>
      <w:rFonts w:ascii="OpenSymbol" w:hAnsi="OpenSymbol" w:cs="OpenSymbol"/>
    </w:rPr>
  </w:style>
  <w:style w:type="character" w:customStyle="1" w:styleId="WW8Num96z0">
    <w:name w:val="WW8Num96z0"/>
    <w:rPr>
      <w:rFonts w:ascii="Symbol" w:hAnsi="Symbol" w:cs="OpenSymbol"/>
      <w:color w:val="C9211E"/>
      <w:szCs w:val="20"/>
    </w:rPr>
  </w:style>
  <w:style w:type="character" w:customStyle="1" w:styleId="WW8Num96z1">
    <w:name w:val="WW8Num96z1"/>
    <w:rPr>
      <w:rFonts w:ascii="OpenSymbol" w:hAnsi="OpenSymbol" w:cs="OpenSymbol"/>
    </w:rPr>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ascii="Tahoma" w:eastAsia="Candara" w:hAnsi="Tahoma" w:cs="Tahoma" w:hint="default"/>
      <w:color w:val="C9211E"/>
      <w:sz w:val="20"/>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rPr>
      <w:rFonts w:ascii="Symbol" w:hAnsi="Symbol" w:cs="Symbol" w:hint="default"/>
    </w:rPr>
  </w:style>
  <w:style w:type="character" w:customStyle="1" w:styleId="WW8Num98z1">
    <w:name w:val="WW8Num98z1"/>
    <w:rPr>
      <w:rFonts w:ascii="Courier New" w:hAnsi="Courier New" w:cs="Courier New" w:hint="default"/>
    </w:rPr>
  </w:style>
  <w:style w:type="character" w:customStyle="1" w:styleId="WW8Num98z2">
    <w:name w:val="WW8Num98z2"/>
    <w:rPr>
      <w:rFonts w:ascii="Wingdings" w:hAnsi="Wingdings" w:cs="Wingdings" w:hint="default"/>
    </w:rPr>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ascii="Bookman Old Style" w:hAnsi="Bookman Old Style" w:cs="Symbol"/>
      <w:sz w:val="20"/>
      <w:szCs w:val="20"/>
    </w:rPr>
  </w:style>
  <w:style w:type="character" w:customStyle="1" w:styleId="WW8Num100z1">
    <w:name w:val="WW8Num100z1"/>
    <w:rPr>
      <w:rFonts w:ascii="Courier New" w:hAnsi="Courier New" w:cs="Courier New" w:hint="default"/>
    </w:rPr>
  </w:style>
  <w:style w:type="character" w:customStyle="1" w:styleId="WW8Num100z2">
    <w:name w:val="WW8Num100z2"/>
    <w:rPr>
      <w:rFonts w:ascii="Wingdings" w:hAnsi="Wingdings" w:cs="Wingdings" w:hint="default"/>
    </w:rPr>
  </w:style>
  <w:style w:type="character" w:customStyle="1" w:styleId="WW8Num100z3">
    <w:name w:val="WW8Num100z3"/>
    <w:rPr>
      <w:rFonts w:ascii="Symbol" w:hAnsi="Symbol" w:cs="Symbol" w:hint="default"/>
    </w:rPr>
  </w:style>
  <w:style w:type="character" w:customStyle="1" w:styleId="WW8Num101z0">
    <w:name w:val="WW8Num101z0"/>
    <w:rPr>
      <w:rFonts w:ascii="Tahoma" w:eastAsia="Candara" w:hAnsi="Tahoma" w:cs="Tahoma" w:hint="default"/>
      <w:color w:val="000000"/>
      <w:sz w:val="20"/>
    </w:rPr>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ascii="Symbol" w:hAnsi="Symbol" w:cs="Symbol" w:hint="default"/>
    </w:rPr>
  </w:style>
  <w:style w:type="character" w:customStyle="1" w:styleId="WW8Num102z1">
    <w:name w:val="WW8Num102z1"/>
    <w:rPr>
      <w:rFonts w:ascii="Courier New" w:hAnsi="Courier New" w:cs="Courier New" w:hint="default"/>
    </w:rPr>
  </w:style>
  <w:style w:type="character" w:customStyle="1" w:styleId="WW8Num102z2">
    <w:name w:val="WW8Num102z2"/>
    <w:rPr>
      <w:rFonts w:ascii="Wingdings" w:hAnsi="Wingdings" w:cs="Wingdings" w:hint="default"/>
    </w:rPr>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Carpredefinitoparagrafo14">
    <w:name w:val="Car. predefinito paragrafo14"/>
  </w:style>
  <w:style w:type="character" w:customStyle="1" w:styleId="WW8Num84z1">
    <w:name w:val="WW8Num84z1"/>
    <w:rPr>
      <w:rFonts w:ascii="OpenSymbol" w:hAnsi="OpenSymbol" w:cs="OpenSymbol"/>
    </w:rPr>
  </w:style>
  <w:style w:type="character" w:customStyle="1" w:styleId="WW8Num84z3">
    <w:name w:val="WW8Num84z3"/>
    <w:rPr>
      <w:rFonts w:ascii="Symbol" w:hAnsi="Symbol" w:cs="OpenSymbol"/>
      <w:color w:val="auto"/>
    </w:rPr>
  </w:style>
  <w:style w:type="character" w:customStyle="1" w:styleId="WW8Num88z2">
    <w:name w:val="WW8Num88z2"/>
    <w:rPr>
      <w:rFonts w:ascii="Liberation Serif" w:hAnsi="Liberation Serif" w:cs="Liberation Serif" w:hint="default"/>
    </w:rPr>
  </w:style>
  <w:style w:type="character" w:customStyle="1" w:styleId="WW8Num90z3">
    <w:name w:val="WW8Num90z3"/>
    <w:rPr>
      <w:rFonts w:ascii="Symbol" w:hAnsi="Symbol" w:cs="OpenSymbol"/>
      <w:color w:val="auto"/>
    </w:rPr>
  </w:style>
  <w:style w:type="character" w:customStyle="1" w:styleId="WW8Num91z4">
    <w:name w:val="WW8Num91z4"/>
    <w:rPr>
      <w:rFonts w:ascii="Bookman Old Style" w:hAnsi="Bookman Old Style" w:cs="Symbol" w:hint="default"/>
      <w:sz w:val="20"/>
      <w:szCs w:val="32"/>
      <w:lang w:val="it-IT"/>
    </w:rPr>
  </w:style>
  <w:style w:type="character" w:customStyle="1" w:styleId="WW8Num22z3">
    <w:name w:val="WW8Num22z3"/>
    <w:rPr>
      <w:rFonts w:ascii="Symbol" w:hAnsi="Symbol" w:cs="Tahoma"/>
      <w:szCs w:val="20"/>
    </w:rPr>
  </w:style>
  <w:style w:type="character" w:customStyle="1" w:styleId="WW8Num33z2">
    <w:name w:val="WW8Num33z2"/>
    <w:rPr>
      <w:rFonts w:ascii="Wingdings" w:hAnsi="Wingdings" w:cs="Times New Roman" w:hint="default"/>
      <w:b/>
      <w:i/>
      <w:caps w:val="0"/>
      <w:smallCaps w:val="0"/>
      <w:strike w:val="0"/>
      <w:dstrike w:val="0"/>
      <w:vanish w:val="0"/>
      <w:position w:val="0"/>
      <w:sz w:val="24"/>
      <w:vertAlign w:val="baseline"/>
    </w:rPr>
  </w:style>
  <w:style w:type="character" w:customStyle="1" w:styleId="WW8Num33z6">
    <w:name w:val="WW8Num33z6"/>
    <w:rPr>
      <w:rFonts w:ascii="Symbol" w:hAnsi="Symbol" w:cs="Symbol"/>
    </w:rPr>
  </w:style>
  <w:style w:type="character" w:customStyle="1" w:styleId="WW8Num35z2">
    <w:name w:val="WW8Num35z2"/>
    <w:rPr>
      <w:rFonts w:ascii="Wingdings" w:hAnsi="Wingdings" w:cs="Wingdings" w:hint="default"/>
    </w:rPr>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46z2">
    <w:name w:val="WW8Num46z2"/>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53z1">
    <w:name w:val="WW8Num53z1"/>
    <w:rPr>
      <w:rFonts w:ascii="OpenSymbol" w:hAnsi="OpenSymbol" w:cs="Courier New" w:hint="default"/>
      <w:sz w:val="20"/>
      <w:szCs w:val="20"/>
    </w:rPr>
  </w:style>
  <w:style w:type="character" w:customStyle="1" w:styleId="WW8Num53z3">
    <w:name w:val="WW8Num53z3"/>
    <w:rPr>
      <w:rFonts w:ascii="Symbol" w:hAnsi="Symbol" w:cs="Symbol" w:hint="default"/>
      <w:color w:val="auto"/>
      <w:sz w:val="20"/>
      <w:szCs w:val="20"/>
    </w:rPr>
  </w:style>
  <w:style w:type="character" w:customStyle="1" w:styleId="WW8Num58z2">
    <w:name w:val="WW8Num58z2"/>
    <w:rPr>
      <w:rFonts w:ascii="Wingdings" w:hAnsi="Wingdings" w:cs="Wingdings" w:hint="default"/>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3">
    <w:name w:val="WW8Num59z3"/>
    <w:rPr>
      <w:rFonts w:ascii="Symbol" w:hAnsi="Symbol" w:cs="OpenSymbol"/>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2z2">
    <w:name w:val="WW8Num72z2"/>
    <w:rPr>
      <w:rFonts w:ascii="Bookman Old Style" w:hAnsi="Bookman Old Style" w:cs="Symbol" w:hint="default"/>
      <w:sz w:val="20"/>
      <w:szCs w:val="32"/>
      <w:lang w:val="it-IT"/>
    </w:rPr>
  </w:style>
  <w:style w:type="character" w:customStyle="1" w:styleId="WW8Num76z3">
    <w:name w:val="WW8Num76z3"/>
    <w:rPr>
      <w:rFonts w:ascii="Symbol" w:hAnsi="Symbol" w:cs="OpenSymbol"/>
    </w:rPr>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1z2">
    <w:name w:val="WW8Num81z2"/>
    <w:rPr>
      <w:rFonts w:hint="default"/>
    </w:rPr>
  </w:style>
  <w:style w:type="character" w:customStyle="1" w:styleId="WW8Num85z1">
    <w:name w:val="WW8Num85z1"/>
    <w:rPr>
      <w:rFonts w:ascii="Tahoma" w:hAnsi="Tahoma" w:cs="Tahoma" w:hint="default"/>
      <w:sz w:val="20"/>
      <w:szCs w:val="20"/>
    </w:rPr>
  </w:style>
  <w:style w:type="character" w:customStyle="1" w:styleId="WW8Num85z2">
    <w:name w:val="WW8Num85z2"/>
    <w:rPr>
      <w:rFonts w:ascii="Wingdings" w:hAnsi="Wingdings" w:cs="Wingdings" w:hint="default"/>
    </w:rPr>
  </w:style>
  <w:style w:type="character" w:customStyle="1" w:styleId="WW8Num85z3">
    <w:name w:val="WW8Num85z3"/>
    <w:rPr>
      <w:rFonts w:ascii="Symbol" w:hAnsi="Symbol" w:cs="Symbol" w:hint="default"/>
    </w:rPr>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7z3">
    <w:name w:val="WW8Num87z3"/>
    <w:rPr>
      <w:rFonts w:ascii="Symbol" w:hAnsi="Symbol" w:cs="OpenSymbol"/>
      <w:color w:val="auto"/>
    </w:rPr>
  </w:style>
  <w:style w:type="character" w:customStyle="1" w:styleId="WW8Num89z2">
    <w:name w:val="WW8Num89z2"/>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2">
    <w:name w:val="WW8Num90z2"/>
    <w:rPr>
      <w:rFonts w:ascii="Wingdings" w:hAnsi="Wingdings" w:cs="Wingdings" w:hint="default"/>
    </w:rPr>
  </w:style>
  <w:style w:type="character" w:customStyle="1" w:styleId="WW8Num91z2">
    <w:name w:val="WW8Num91z2"/>
    <w:rPr>
      <w:rFonts w:ascii="Wingdings" w:hAnsi="Wingdings" w:cs="Wingdings" w:hint="default"/>
    </w:rPr>
  </w:style>
  <w:style w:type="character" w:customStyle="1" w:styleId="WW8Num101z1">
    <w:name w:val="WW8Num101z1"/>
    <w:rPr>
      <w:rFonts w:ascii="OpenSymbol" w:hAnsi="OpenSymbol" w:cs="OpenSymbol"/>
    </w:rPr>
  </w:style>
  <w:style w:type="character" w:customStyle="1" w:styleId="WW8Num104z0">
    <w:name w:val="WW8Num104z0"/>
    <w:rPr>
      <w:rFonts w:ascii="Bookman Old Style" w:eastAsia="Calibri" w:hAnsi="Bookman Old Style" w:cs="OpenSymbol" w:hint="default"/>
      <w:w w:val="99"/>
      <w:sz w:val="20"/>
      <w:szCs w:val="20"/>
      <w:lang w:val="it-IT"/>
    </w:rPr>
  </w:style>
  <w:style w:type="character" w:customStyle="1" w:styleId="WW8Num104z1">
    <w:name w:val="WW8Num104z1"/>
    <w:rPr>
      <w:rFonts w:ascii="Bookman Old Style" w:eastAsia="Calibri" w:hAnsi="Bookman Old Style" w:cs="Symbol" w:hint="default"/>
      <w:w w:val="99"/>
      <w:sz w:val="20"/>
      <w:szCs w:val="32"/>
      <w:lang w:val="it-IT"/>
    </w:rPr>
  </w:style>
  <w:style w:type="character" w:customStyle="1" w:styleId="WW8Num104z2">
    <w:name w:val="WW8Num104z2"/>
    <w:rPr>
      <w:rFonts w:hint="default"/>
    </w:rPr>
  </w:style>
  <w:style w:type="character" w:customStyle="1" w:styleId="WW8Num105z0">
    <w:name w:val="WW8Num105z0"/>
    <w:rPr>
      <w:rFonts w:ascii="Bookman Old Style" w:eastAsia="Calibri" w:hAnsi="Bookman Old Style" w:cs="OpenSymbol" w:hint="default"/>
      <w:w w:val="99"/>
      <w:sz w:val="20"/>
      <w:szCs w:val="20"/>
      <w:lang w:val="it-IT"/>
    </w:rPr>
  </w:style>
  <w:style w:type="character" w:customStyle="1" w:styleId="WW8Num105z1">
    <w:name w:val="WW8Num105z1"/>
    <w:rPr>
      <w:rFonts w:ascii="Bookman Old Style" w:eastAsia="Calibri" w:hAnsi="Bookman Old Style" w:cs="Symbol" w:hint="default"/>
      <w:w w:val="99"/>
      <w:sz w:val="20"/>
      <w:szCs w:val="32"/>
      <w:lang w:val="it-IT"/>
    </w:rPr>
  </w:style>
  <w:style w:type="character" w:customStyle="1" w:styleId="WW8Num105z2">
    <w:name w:val="WW8Num105z2"/>
    <w:rPr>
      <w:rFonts w:hint="default"/>
    </w:rPr>
  </w:style>
  <w:style w:type="character" w:customStyle="1" w:styleId="WW8Num106z0">
    <w:name w:val="WW8Num106z0"/>
    <w:rPr>
      <w:rFonts w:ascii="Bookman Old Style" w:hAnsi="Bookman Old Style" w:cs="OpenSymbol" w:hint="default"/>
      <w:color w:val="auto"/>
      <w:sz w:val="20"/>
      <w:szCs w:val="20"/>
    </w:rPr>
  </w:style>
  <w:style w:type="character" w:customStyle="1" w:styleId="WW8Num106z1">
    <w:name w:val="WW8Num106z1"/>
    <w:rPr>
      <w:rFonts w:ascii="OpenSymbol" w:hAnsi="OpenSymbol" w:cs="OpenSymbol"/>
    </w:rPr>
  </w:style>
  <w:style w:type="character" w:customStyle="1" w:styleId="WW8Num106z3">
    <w:name w:val="WW8Num106z3"/>
    <w:rPr>
      <w:rFonts w:ascii="Symbol" w:hAnsi="Symbol" w:cs="OpenSymbol"/>
      <w:color w:val="auto"/>
    </w:rPr>
  </w:style>
  <w:style w:type="character" w:customStyle="1" w:styleId="WW8Num107z0">
    <w:name w:val="WW8Num107z0"/>
    <w:rPr>
      <w:rFonts w:ascii="Bookman Old Style" w:hAnsi="Bookman Old Style" w:cs="OpenSymbol" w:hint="default"/>
      <w:color w:val="auto"/>
      <w:sz w:val="20"/>
      <w:szCs w:val="20"/>
    </w:rPr>
  </w:style>
  <w:style w:type="character" w:customStyle="1" w:styleId="WW8Num107z1">
    <w:name w:val="WW8Num107z1"/>
    <w:rPr>
      <w:rFonts w:ascii="OpenSymbol" w:hAnsi="OpenSymbol" w:cs="OpenSymbol"/>
    </w:rPr>
  </w:style>
  <w:style w:type="character" w:customStyle="1" w:styleId="WW8Num107z3">
    <w:name w:val="WW8Num107z3"/>
    <w:rPr>
      <w:rFonts w:ascii="Symbol" w:hAnsi="Symbol" w:cs="OpenSymbol"/>
      <w:color w:val="auto"/>
    </w:rPr>
  </w:style>
  <w:style w:type="character" w:customStyle="1" w:styleId="WW8Num108z0">
    <w:name w:val="WW8Num108z0"/>
    <w:rPr>
      <w:rFonts w:ascii="Bookman Old Style" w:hAnsi="Bookman Old Style" w:cs="Tahoma" w:hint="default"/>
      <w:sz w:val="20"/>
      <w:szCs w:val="20"/>
      <w:lang w:val="it-IT"/>
    </w:rPr>
  </w:style>
  <w:style w:type="character" w:customStyle="1" w:styleId="WW8Num108z1">
    <w:name w:val="WW8Num108z1"/>
    <w:rPr>
      <w:rFonts w:ascii="Symbol" w:hAnsi="Symbol" w:cs="Symbol"/>
      <w:lang w:val="it-IT"/>
    </w:rPr>
  </w:style>
  <w:style w:type="character" w:customStyle="1" w:styleId="WW8Num108z4">
    <w:name w:val="WW8Num108z4"/>
    <w:rPr>
      <w:rFonts w:ascii="Bookman Old Style" w:hAnsi="Bookman Old Style" w:cs="Symbol" w:hint="default"/>
      <w:sz w:val="20"/>
      <w:szCs w:val="32"/>
      <w:lang w:val="it-IT"/>
    </w:rPr>
  </w:style>
  <w:style w:type="character" w:customStyle="1" w:styleId="WW8Num109z0">
    <w:name w:val="WW8Num109z0"/>
    <w:rPr>
      <w:rFonts w:ascii="Bookman Old Style" w:hAnsi="Bookman Old Style" w:cs="OpenSymbol" w:hint="default"/>
      <w:color w:val="auto"/>
      <w:sz w:val="20"/>
      <w:szCs w:val="20"/>
    </w:rPr>
  </w:style>
  <w:style w:type="character" w:customStyle="1" w:styleId="WW8Num109z1">
    <w:name w:val="WW8Num109z1"/>
    <w:rPr>
      <w:rFonts w:ascii="OpenSymbol" w:hAnsi="OpenSymbol" w:cs="OpenSymbol"/>
    </w:rPr>
  </w:style>
  <w:style w:type="character" w:customStyle="1" w:styleId="WW8Num109z3">
    <w:name w:val="WW8Num109z3"/>
    <w:rPr>
      <w:rFonts w:ascii="Symbol" w:hAnsi="Symbol" w:cs="OpenSymbol"/>
      <w:color w:val="auto"/>
    </w:rPr>
  </w:style>
  <w:style w:type="character" w:customStyle="1" w:styleId="WW8Num110z0">
    <w:name w:val="WW8Num110z0"/>
    <w:rPr>
      <w:rFonts w:ascii="Bookman Old Style" w:hAnsi="Bookman Old Style" w:cs="OpenSymbol" w:hint="default"/>
      <w:w w:val="106"/>
      <w:sz w:val="20"/>
      <w:szCs w:val="20"/>
      <w:lang w:val="it-IT" w:bidi="it-IT"/>
    </w:rPr>
  </w:style>
  <w:style w:type="character" w:customStyle="1" w:styleId="WW8Num110z1">
    <w:name w:val="WW8Num110z1"/>
    <w:rPr>
      <w:rFonts w:ascii="OpenSymbol" w:hAnsi="OpenSymbol" w:cs="Courier New" w:hint="default"/>
      <w:sz w:val="20"/>
      <w:szCs w:val="20"/>
    </w:rPr>
  </w:style>
  <w:style w:type="character" w:customStyle="1" w:styleId="WW8Num110z3">
    <w:name w:val="WW8Num110z3"/>
    <w:rPr>
      <w:rFonts w:ascii="Symbol" w:hAnsi="Symbol" w:cs="Times New Roman" w:hint="default"/>
      <w:w w:val="106"/>
      <w:sz w:val="20"/>
      <w:szCs w:val="20"/>
      <w:lang w:val="it-IT" w:bidi="it-IT"/>
    </w:rPr>
  </w:style>
  <w:style w:type="character" w:customStyle="1" w:styleId="Carpredefinitoparagrafo13">
    <w:name w:val="Car. predefinito paragrafo13"/>
  </w:style>
  <w:style w:type="character" w:customStyle="1" w:styleId="WW8Num29z5">
    <w:name w:val="WW8Num29z5"/>
  </w:style>
  <w:style w:type="character" w:customStyle="1" w:styleId="WW8Num29z7">
    <w:name w:val="WW8Num29z7"/>
  </w:style>
  <w:style w:type="character" w:customStyle="1" w:styleId="WW8Num29z8">
    <w:name w:val="WW8Num29z8"/>
  </w:style>
  <w:style w:type="character" w:customStyle="1" w:styleId="WW8Num32z2">
    <w:name w:val="WW8Num32z2"/>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7">
    <w:name w:val="WW8Num33z7"/>
  </w:style>
  <w:style w:type="character" w:customStyle="1" w:styleId="WW8Num33z8">
    <w:name w:val="WW8Num33z8"/>
  </w:style>
  <w:style w:type="character" w:customStyle="1" w:styleId="WW8Num36z2">
    <w:name w:val="WW8Num36z2"/>
    <w:rPr>
      <w:rFonts w:ascii="Wingdings" w:hAnsi="Wingdings" w:cs="Wingdings" w:hint="default"/>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41z3">
    <w:name w:val="WW8Num41z3"/>
    <w:rPr>
      <w:rFonts w:ascii="Symbol" w:hAnsi="Symbol" w:cs="Symbol"/>
    </w:rPr>
  </w:style>
  <w:style w:type="character" w:customStyle="1" w:styleId="WW8Num50z6">
    <w:name w:val="WW8Num50z6"/>
    <w:rPr>
      <w:rFonts w:ascii="Symbol" w:hAnsi="Symbol" w:cs="Symbol"/>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17z1">
    <w:name w:val="WW8Num17z1"/>
    <w:rPr>
      <w:rFonts w:ascii="OpenSymbol" w:hAnsi="OpenSymbol" w:cs="OpenSymbol"/>
    </w:rPr>
  </w:style>
  <w:style w:type="character" w:customStyle="1" w:styleId="WW8Num17z3">
    <w:name w:val="WW8Num17z3"/>
    <w:rPr>
      <w:rFonts w:ascii="Symbol" w:hAnsi="Symbol" w:cs="Symbol"/>
    </w:rPr>
  </w:style>
  <w:style w:type="character" w:customStyle="1" w:styleId="WW8Num38z2">
    <w:name w:val="WW8Num38z2"/>
    <w:rPr>
      <w:rFonts w:ascii="Wingdings" w:hAnsi="Wingdings" w:cs="Wingdings" w:hint="default"/>
    </w:rPr>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2">
    <w:name w:val="WW8Num39z2"/>
    <w:rPr>
      <w:rFonts w:ascii="Wingdings" w:hAnsi="Wingdings" w:cs="Wingdings" w:hint="default"/>
    </w:rPr>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52z2">
    <w:name w:val="WW8Num52z2"/>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64z2">
    <w:name w:val="WW8Num64z2"/>
    <w:rPr>
      <w:rFonts w:ascii="Wingdings" w:hAnsi="Wingdings" w:cs="Wingdings" w:hint="default"/>
    </w:rPr>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OpenSymbol" w:hAnsi="OpenSymbol" w:cs="OpenSymbol"/>
    </w:rPr>
  </w:style>
  <w:style w:type="character" w:customStyle="1" w:styleId="WW8Num6z2">
    <w:name w:val="WW8Num6z2"/>
  </w:style>
  <w:style w:type="character" w:customStyle="1" w:styleId="WW8Num6z3">
    <w:name w:val="WW8Num6z3"/>
  </w:style>
  <w:style w:type="character" w:customStyle="1" w:styleId="WW8Num10z1">
    <w:name w:val="WW8Num10z1"/>
    <w:rPr>
      <w:rFonts w:ascii="OpenSymbol" w:hAnsi="OpenSymbol" w:cs="OpenSymbol"/>
    </w:rPr>
  </w:style>
  <w:style w:type="character" w:customStyle="1" w:styleId="WW8Num11z2">
    <w:name w:val="WW8Num11z2"/>
    <w:rPr>
      <w:rFonts w:ascii="Wingdings" w:hAnsi="Wingdings" w:cs="Wingdings" w:hint="default"/>
      <w:sz w:val="20"/>
    </w:rPr>
  </w:style>
  <w:style w:type="character" w:customStyle="1" w:styleId="WW8Num15z1">
    <w:name w:val="WW8Num15z1"/>
    <w:rPr>
      <w:rFonts w:ascii="OpenSymbol" w:hAnsi="OpenSymbol" w:cs="OpenSymbol"/>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5z4">
    <w:name w:val="WW8Num15z4"/>
    <w:rPr>
      <w:rFonts w:ascii="Courier New" w:hAnsi="Courier New" w:cs="Courier New" w:hint="default"/>
    </w:rPr>
  </w:style>
  <w:style w:type="character" w:customStyle="1" w:styleId="WW8Num18z1">
    <w:name w:val="WW8Num18z1"/>
    <w:rPr>
      <w:rFonts w:ascii="OpenSymbol" w:hAnsi="OpenSymbol" w:cs="OpenSymbol"/>
    </w:rPr>
  </w:style>
  <w:style w:type="character" w:customStyle="1" w:styleId="WW8Num18z3">
    <w:name w:val="WW8Num18z3"/>
  </w:style>
  <w:style w:type="character" w:customStyle="1" w:styleId="WW8Num29z4">
    <w:name w:val="WW8Num29z4"/>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3z2">
    <w:name w:val="WW8Num43z2"/>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3z6">
    <w:name w:val="WW8Num43z6"/>
  </w:style>
  <w:style w:type="character" w:customStyle="1" w:styleId="WW8Num57z3">
    <w:name w:val="WW8Num57z3"/>
    <w:rPr>
      <w:rFonts w:ascii="Symbol" w:hAnsi="Symbol" w:cs="Symbol" w:hint="default"/>
    </w:rPr>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1z6">
    <w:name w:val="WW8Num61z6"/>
  </w:style>
  <w:style w:type="character" w:customStyle="1" w:styleId="WW8Num71z2">
    <w:name w:val="WW8Num71z2"/>
    <w:rPr>
      <w:rFonts w:ascii="Wingdings" w:hAnsi="Wingdings" w:cs="Wingdings" w:hint="default"/>
    </w:rPr>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42z2">
    <w:name w:val="WW8Num42z2"/>
    <w:rPr>
      <w:rFonts w:ascii="Wingdings" w:hAnsi="Wingdings" w:cs="Wingdings" w:hint="default"/>
    </w:rPr>
  </w:style>
  <w:style w:type="character" w:customStyle="1" w:styleId="WW8Num43z4">
    <w:name w:val="WW8Num43z4"/>
  </w:style>
  <w:style w:type="character" w:customStyle="1" w:styleId="WW8Num43z5">
    <w:name w:val="WW8Num43z5"/>
  </w:style>
  <w:style w:type="character" w:customStyle="1" w:styleId="WW8Num43z7">
    <w:name w:val="WW8Num43z7"/>
  </w:style>
  <w:style w:type="character" w:customStyle="1" w:styleId="WW8Num43z8">
    <w:name w:val="WW8Num43z8"/>
  </w:style>
  <w:style w:type="character" w:customStyle="1" w:styleId="WW8Num49z2">
    <w:name w:val="WW8Num49z2"/>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9z4">
    <w:name w:val="WW8Num49z4"/>
    <w:rPr>
      <w:rFonts w:ascii="Courier New" w:hAnsi="Courier New" w:cs="Courier New" w:hint="default"/>
    </w:rPr>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2">
    <w:name w:val="WW8Num50z2"/>
  </w:style>
  <w:style w:type="character" w:customStyle="1" w:styleId="WW8Num50z4">
    <w:name w:val="WW8Num50z4"/>
  </w:style>
  <w:style w:type="character" w:customStyle="1" w:styleId="WW8Num50z5">
    <w:name w:val="WW8Num50z5"/>
  </w:style>
  <w:style w:type="character" w:customStyle="1" w:styleId="WW8Num50z7">
    <w:name w:val="WW8Num50z7"/>
  </w:style>
  <w:style w:type="character" w:customStyle="1" w:styleId="WW8Num50z8">
    <w:name w:val="WW8Num50z8"/>
  </w:style>
  <w:style w:type="character" w:customStyle="1" w:styleId="WW8Num56z3">
    <w:name w:val="WW8Num56z3"/>
    <w:rPr>
      <w:rFonts w:ascii="Symbol" w:hAnsi="Symbol" w:cs="Symbol" w:hint="default"/>
    </w:rPr>
  </w:style>
  <w:style w:type="character" w:customStyle="1" w:styleId="WW8Num65z2">
    <w:name w:val="WW8Num65z2"/>
    <w:rPr>
      <w:rFonts w:ascii="Wingdings" w:hAnsi="Wingdings" w:cs="Wingdings" w:hint="default"/>
    </w:rPr>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7z2">
    <w:name w:val="WW8Num67z2"/>
  </w:style>
  <w:style w:type="character" w:customStyle="1" w:styleId="WW8Num68z6">
    <w:name w:val="WW8Num68z6"/>
  </w:style>
  <w:style w:type="character" w:customStyle="1" w:styleId="Carpredefinitoparagrafo12">
    <w:name w:val="Car. predefinito paragrafo12"/>
  </w:style>
  <w:style w:type="character" w:customStyle="1" w:styleId="WW8Num22z2">
    <w:name w:val="WW8Num22z2"/>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53z2">
    <w:name w:val="WW8Num53z2"/>
    <w:rPr>
      <w:rFonts w:ascii="Wingdings" w:hAnsi="Wingdings" w:cs="Wingdings" w:hint="default"/>
    </w:rPr>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68z2">
    <w:name w:val="WW8Num68z2"/>
    <w:rPr>
      <w:rFonts w:ascii="Wingdings" w:hAnsi="Wingdings" w:cs="Wingdings" w:hint="default"/>
    </w:rPr>
  </w:style>
  <w:style w:type="character" w:customStyle="1" w:styleId="Carpredefinitoparagrafo11">
    <w:name w:val="Car. predefinito paragrafo11"/>
  </w:style>
  <w:style w:type="character" w:customStyle="1" w:styleId="WW8Num28z2">
    <w:name w:val="WW8Num28z2"/>
    <w:rPr>
      <w:rFonts w:ascii="Wingdings" w:hAnsi="Wingdings" w:cs="Wingdings" w:hint="default"/>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61z4">
    <w:name w:val="WW8Num61z4"/>
  </w:style>
  <w:style w:type="character" w:customStyle="1" w:styleId="WW8Num61z5">
    <w:name w:val="WW8Num61z5"/>
  </w:style>
  <w:style w:type="character" w:customStyle="1" w:styleId="WW8Num61z7">
    <w:name w:val="WW8Num61z7"/>
  </w:style>
  <w:style w:type="character" w:customStyle="1" w:styleId="WW8Num61z8">
    <w:name w:val="WW8Num61z8"/>
  </w:style>
  <w:style w:type="character" w:customStyle="1" w:styleId="WW8Num63z2">
    <w:name w:val="WW8Num63z2"/>
    <w:rPr>
      <w:rFonts w:ascii="Wingdings" w:hAnsi="Wingdings" w:cs="Wingdings" w:hint="default"/>
    </w:rPr>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Carpredefinitoparagrafo10">
    <w:name w:val="Car. predefinito paragrafo10"/>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4">
    <w:name w:val="WW8Num68z4"/>
  </w:style>
  <w:style w:type="character" w:customStyle="1" w:styleId="WW8Num68z5">
    <w:name w:val="WW8Num68z5"/>
  </w:style>
  <w:style w:type="character" w:customStyle="1" w:styleId="WW8Num68z7">
    <w:name w:val="WW8Num68z7"/>
  </w:style>
  <w:style w:type="character" w:customStyle="1" w:styleId="WW8Num68z8">
    <w:name w:val="WW8Num68z8"/>
  </w:style>
  <w:style w:type="character" w:customStyle="1" w:styleId="Carpredefinitoparagrafo9">
    <w:name w:val="Car. predefinito paragrafo9"/>
  </w:style>
  <w:style w:type="character" w:customStyle="1" w:styleId="WW8Num16z2">
    <w:name w:val="WW8Num16z2"/>
    <w:rPr>
      <w:rFonts w:ascii="Wingdings" w:hAnsi="Wingdings" w:cs="Wingdings" w:hint="default"/>
    </w:rPr>
  </w:style>
  <w:style w:type="character" w:customStyle="1" w:styleId="WW8Num16z4">
    <w:name w:val="WW8Num16z4"/>
    <w:rPr>
      <w:rFonts w:ascii="Courier New" w:hAnsi="Courier New" w:cs="Courier New" w:hint="default"/>
    </w:rPr>
  </w:style>
  <w:style w:type="character" w:customStyle="1" w:styleId="WW8Num17z2">
    <w:name w:val="WW8Num17z2"/>
  </w:style>
  <w:style w:type="character" w:customStyle="1" w:styleId="WW8Num17z4">
    <w:name w:val="WW8Num17z4"/>
  </w:style>
  <w:style w:type="character" w:customStyle="1" w:styleId="WW8Num32z4">
    <w:name w:val="WW8Num32z4"/>
  </w:style>
  <w:style w:type="character" w:customStyle="1" w:styleId="WW8Num32z5">
    <w:name w:val="WW8Num32z5"/>
  </w:style>
  <w:style w:type="character" w:customStyle="1" w:styleId="WW8Num32z7">
    <w:name w:val="WW8Num32z7"/>
  </w:style>
  <w:style w:type="character" w:customStyle="1" w:styleId="WW8Num32z8">
    <w:name w:val="WW8Num32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OpenSymbol" w:hAnsi="OpenSymbol" w:cs="OpenSymbol"/>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11z1">
    <w:name w:val="WW8Num11z1"/>
    <w:rPr>
      <w:rFonts w:ascii="OpenSymbol" w:hAnsi="OpenSymbol" w:cs="OpenSymbol"/>
    </w:rPr>
  </w:style>
  <w:style w:type="character" w:customStyle="1" w:styleId="WW8Num12z2">
    <w:name w:val="WW8Num12z2"/>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18z2">
    <w:name w:val="WW8Num18z2"/>
  </w:style>
  <w:style w:type="character" w:customStyle="1" w:styleId="WW8Num18z4">
    <w:name w:val="WW8Num18z4"/>
  </w:style>
  <w:style w:type="character" w:customStyle="1" w:styleId="WW8Num42z4">
    <w:name w:val="WW8Num42z4"/>
  </w:style>
  <w:style w:type="character" w:customStyle="1" w:styleId="WW8Num42z5">
    <w:name w:val="WW8Num42z5"/>
  </w:style>
  <w:style w:type="character" w:customStyle="1" w:styleId="WW8Num42z7">
    <w:name w:val="WW8Num42z7"/>
  </w:style>
  <w:style w:type="character" w:customStyle="1" w:styleId="WW8Num42z8">
    <w:name w:val="WW8Num42z8"/>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Carpredefinitoparagrafo8">
    <w:name w:val="Car. predefinito paragrafo8"/>
  </w:style>
  <w:style w:type="character" w:customStyle="1" w:styleId="WW8Num19z2">
    <w:name w:val="WW8Num19z2"/>
    <w:rPr>
      <w:rFonts w:ascii="Wingdings" w:hAnsi="Wingdings" w:cs="Wingdings" w:hint="default"/>
      <w:sz w:val="20"/>
    </w:rPr>
  </w:style>
  <w:style w:type="character" w:customStyle="1" w:styleId="WW8Num19z4">
    <w:name w:val="WW8Num19z4"/>
    <w:rPr>
      <w:rFonts w:ascii="Courier New" w:hAnsi="Courier New" w:cs="Times New Roman" w:hint="default"/>
    </w:rPr>
  </w:style>
  <w:style w:type="character" w:customStyle="1" w:styleId="Carpredefinitoparagrafo7">
    <w:name w:val="Car. predefinito paragrafo7"/>
  </w:style>
  <w:style w:type="character" w:customStyle="1" w:styleId="Carpredefinitoparagrafo6">
    <w:name w:val="Car. predefinito paragrafo6"/>
  </w:style>
  <w:style w:type="character" w:customStyle="1" w:styleId="Carpredefinitoparagrafo5">
    <w:name w:val="Car. predefinito paragrafo5"/>
  </w:style>
  <w:style w:type="character" w:customStyle="1" w:styleId="WW8Num7z4">
    <w:name w:val="WW8Num7z4"/>
    <w:rPr>
      <w:rFonts w:ascii="Symbol" w:hAnsi="Symbol" w:cs="Symbol"/>
    </w:rPr>
  </w:style>
  <w:style w:type="character" w:customStyle="1" w:styleId="WW8Num8z1">
    <w:name w:val="WW8Num8z1"/>
    <w:rPr>
      <w:rFonts w:ascii="OpenSymbol" w:hAnsi="OpenSymbol" w:cs="OpenSymbol"/>
    </w:rPr>
  </w:style>
  <w:style w:type="character" w:customStyle="1" w:styleId="WW8Num12z1">
    <w:name w:val="WW8Num12z1"/>
    <w:rPr>
      <w:rFonts w:ascii="Courier New" w:hAnsi="Courier New" w:cs="Courier New"/>
    </w:rPr>
  </w:style>
  <w:style w:type="character" w:customStyle="1" w:styleId="WW8Num13z1">
    <w:name w:val="WW8Num13z1"/>
    <w:rPr>
      <w:rFonts w:ascii="OpenSymbol" w:hAnsi="OpenSymbol" w:cs="OpenSymbol"/>
    </w:rPr>
  </w:style>
  <w:style w:type="character" w:customStyle="1" w:styleId="Carpredefinitoparagrafo4">
    <w:name w:val="Car. predefinito paragrafo4"/>
  </w:style>
  <w:style w:type="character" w:customStyle="1" w:styleId="Carpredefinitoparagrafo3">
    <w:name w:val="Car. predefinito paragrafo3"/>
  </w:style>
  <w:style w:type="character" w:customStyle="1" w:styleId="WW8Num2z1">
    <w:name w:val="WW8Num2z1"/>
  </w:style>
  <w:style w:type="character" w:customStyle="1" w:styleId="WW8Num3z1">
    <w:name w:val="WW8Num3z1"/>
    <w:rPr>
      <w:rFonts w:ascii="OpenSymbol" w:hAnsi="OpenSymbol" w:cs="OpenSymbol"/>
    </w:rPr>
  </w:style>
  <w:style w:type="character" w:customStyle="1" w:styleId="Carpredefinitoparagrafo2">
    <w:name w:val="Car. predefinito paragrafo2"/>
  </w:style>
  <w:style w:type="character" w:customStyle="1" w:styleId="Titolo1Carattere">
    <w:name w:val="Titolo 1 Carattere"/>
    <w:rPr>
      <w:rFonts w:ascii="Tahoma" w:hAnsi="Tahoma" w:cs="Tahoma"/>
      <w:b/>
      <w:bCs/>
      <w:color w:val="404040"/>
      <w:sz w:val="32"/>
      <w:szCs w:val="28"/>
    </w:rPr>
  </w:style>
  <w:style w:type="character" w:customStyle="1" w:styleId="Titolo2Carattere">
    <w:name w:val="Titolo 2 Carattere"/>
    <w:rPr>
      <w:rFonts w:ascii="Cambria" w:eastAsia="Times New Roman" w:hAnsi="Cambria" w:cs="Times New Roman"/>
      <w:b/>
      <w:bCs/>
      <w:color w:val="2DA2BF"/>
      <w:sz w:val="26"/>
      <w:szCs w:val="26"/>
    </w:rPr>
  </w:style>
  <w:style w:type="character" w:customStyle="1" w:styleId="Titolo3Carattere">
    <w:name w:val="Titolo 3 Carattere"/>
    <w:rPr>
      <w:rFonts w:ascii="Cambria" w:eastAsia="Times New Roman" w:hAnsi="Cambria" w:cs="Times New Roman"/>
      <w:b/>
      <w:bCs/>
      <w:color w:val="2DA2BF"/>
    </w:rPr>
  </w:style>
  <w:style w:type="character" w:customStyle="1" w:styleId="Titolo4Carattere">
    <w:name w:val="Titolo 4 Carattere"/>
    <w:rPr>
      <w:rFonts w:ascii="Cambria" w:eastAsia="Times New Roman" w:hAnsi="Cambria" w:cs="Times New Roman"/>
      <w:b/>
      <w:bCs/>
      <w:i/>
      <w:iCs/>
      <w:color w:val="2DA2BF"/>
    </w:rPr>
  </w:style>
  <w:style w:type="character" w:customStyle="1" w:styleId="Titolo5Carattere">
    <w:name w:val="Titolo 5 Carattere"/>
    <w:rPr>
      <w:rFonts w:ascii="Cambria" w:eastAsia="Times New Roman" w:hAnsi="Cambria" w:cs="Times New Roman"/>
      <w:color w:val="16505E"/>
    </w:rPr>
  </w:style>
  <w:style w:type="character" w:customStyle="1" w:styleId="Titolo6Carattere">
    <w:name w:val="Titolo 6 Carattere"/>
    <w:rPr>
      <w:rFonts w:ascii="Cambria" w:eastAsia="Times New Roman" w:hAnsi="Cambria" w:cs="Times New Roman"/>
      <w:i/>
      <w:iCs/>
      <w:color w:val="16505E"/>
    </w:rPr>
  </w:style>
  <w:style w:type="character" w:customStyle="1" w:styleId="Titolo7Carattere">
    <w:name w:val="Titolo 7 Carattere"/>
    <w:rPr>
      <w:rFonts w:ascii="Cambria" w:eastAsia="Times New Roman" w:hAnsi="Cambria" w:cs="Times New Roman"/>
      <w:i/>
      <w:iCs/>
      <w:color w:val="404040"/>
    </w:rPr>
  </w:style>
  <w:style w:type="character" w:customStyle="1" w:styleId="Titolo8Carattere">
    <w:name w:val="Titolo 8 Carattere"/>
    <w:rPr>
      <w:rFonts w:ascii="Cambria" w:eastAsia="Times New Roman" w:hAnsi="Cambria" w:cs="Times New Roman"/>
      <w:color w:val="2DA2BF"/>
      <w:sz w:val="20"/>
      <w:szCs w:val="20"/>
    </w:rPr>
  </w:style>
  <w:style w:type="character" w:customStyle="1" w:styleId="Titolo9Carattere">
    <w:name w:val="Titolo 9 Carattere"/>
    <w:rPr>
      <w:rFonts w:ascii="Cambria" w:eastAsia="Times New Roman" w:hAnsi="Cambria" w:cs="Times New Roman"/>
      <w:i/>
      <w:iCs/>
      <w:color w:val="404040"/>
      <w:sz w:val="20"/>
      <w:szCs w:val="20"/>
    </w:rPr>
  </w:style>
  <w:style w:type="character" w:customStyle="1" w:styleId="st">
    <w:name w:val="st"/>
    <w:rPr>
      <w:rFonts w:cs="Times New Roman"/>
    </w:rPr>
  </w:style>
  <w:style w:type="character" w:customStyle="1" w:styleId="TestonotaapidipaginaCarattere">
    <w:name w:val="Testo nota a piè di pagina Carattere"/>
    <w:rPr>
      <w:rFonts w:ascii="Vrinda" w:hAnsi="Vrinda" w:cs="Vrinda"/>
      <w:lang w:val="it-IT" w:bidi="ar-SA"/>
    </w:rPr>
  </w:style>
  <w:style w:type="character" w:customStyle="1" w:styleId="Caratteredellanota">
    <w:name w:val="Carattere della nota"/>
    <w:rPr>
      <w:rFonts w:cs="Times New Roman"/>
      <w:vertAlign w:val="superscript"/>
    </w:rPr>
  </w:style>
  <w:style w:type="character" w:customStyle="1" w:styleId="TestofumettoCarattere">
    <w:name w:val="Testo fumetto Carattere"/>
    <w:rPr>
      <w:rFonts w:ascii="Tahoma" w:hAnsi="Tahoma" w:cs="Tahoma"/>
      <w:sz w:val="16"/>
      <w:szCs w:val="16"/>
      <w:lang w:val="it-IT" w:bidi="ar-SA"/>
    </w:rPr>
  </w:style>
  <w:style w:type="character" w:styleId="Enfasigrassetto">
    <w:name w:val="Strong"/>
    <w:qFormat/>
    <w:rPr>
      <w:b/>
      <w:bCs/>
    </w:rPr>
  </w:style>
  <w:style w:type="character" w:customStyle="1" w:styleId="Carpredefinitoparagrafo1">
    <w:name w:val="Car. predefinito paragrafo1"/>
  </w:style>
  <w:style w:type="character" w:customStyle="1" w:styleId="IntestazioneCarattere">
    <w:name w:val="Intestazione Carattere"/>
    <w:rPr>
      <w:rFonts w:ascii="Vrinda" w:hAnsi="Vrinda" w:cs="Vrinda"/>
      <w:sz w:val="24"/>
      <w:szCs w:val="22"/>
      <w:lang w:val="it-IT" w:bidi="ar-SA"/>
    </w:rPr>
  </w:style>
  <w:style w:type="character" w:customStyle="1" w:styleId="PidipaginaCarattere">
    <w:name w:val="Piè di pagina Carattere"/>
    <w:uiPriority w:val="99"/>
    <w:rPr>
      <w:rFonts w:ascii="Vrinda" w:hAnsi="Vrinda" w:cs="Vrinda"/>
      <w:sz w:val="24"/>
      <w:szCs w:val="22"/>
      <w:lang w:val="it-IT" w:bidi="ar-SA"/>
    </w:rPr>
  </w:style>
  <w:style w:type="character" w:styleId="Collegamentoipertestuale">
    <w:name w:val="Hyperlink"/>
    <w:uiPriority w:val="99"/>
    <w:rPr>
      <w:rFonts w:cs="Times New Roman"/>
      <w:color w:val="0000FF"/>
      <w:u w:val="single"/>
    </w:rPr>
  </w:style>
  <w:style w:type="character" w:customStyle="1" w:styleId="font7">
    <w:name w:val="font7"/>
    <w:rPr>
      <w:rFonts w:cs="Times New Roman"/>
    </w:rPr>
  </w:style>
  <w:style w:type="character" w:customStyle="1" w:styleId="highlight">
    <w:name w:val="highlight"/>
    <w:rPr>
      <w:rFonts w:cs="Times New Roman"/>
    </w:rPr>
  </w:style>
  <w:style w:type="character" w:styleId="Numeropagina">
    <w:name w:val="page number"/>
    <w:basedOn w:val="Carpredefinitoparagrafo2"/>
  </w:style>
  <w:style w:type="character" w:customStyle="1" w:styleId="TitoloCarattere">
    <w:name w:val="Titolo Carattere"/>
    <w:rPr>
      <w:rFonts w:ascii="Tahoma" w:hAnsi="Tahoma" w:cs="Tahoma"/>
      <w:b/>
      <w:color w:val="343434"/>
      <w:spacing w:val="5"/>
      <w:kern w:val="2"/>
      <w:sz w:val="44"/>
      <w:szCs w:val="52"/>
    </w:rPr>
  </w:style>
  <w:style w:type="character" w:customStyle="1" w:styleId="SottotitoloCarattere">
    <w:name w:val="Sottotitolo Carattere"/>
    <w:rPr>
      <w:rFonts w:ascii="Tahoma" w:hAnsi="Tahoma" w:cs="Tahoma"/>
      <w:b/>
      <w:iCs/>
      <w:color w:val="404040"/>
      <w:spacing w:val="15"/>
      <w:sz w:val="22"/>
      <w:szCs w:val="24"/>
      <w:u w:val="single"/>
    </w:rPr>
  </w:style>
  <w:style w:type="character" w:styleId="Enfasicorsivo">
    <w:name w:val="Emphasis"/>
    <w:qFormat/>
    <w:rPr>
      <w:i/>
      <w:iCs/>
    </w:rPr>
  </w:style>
  <w:style w:type="character" w:customStyle="1" w:styleId="CitazioneCarattere">
    <w:name w:val="Citazione Carattere"/>
    <w:rPr>
      <w:i/>
      <w:iCs/>
      <w:color w:val="000000"/>
    </w:rPr>
  </w:style>
  <w:style w:type="character" w:customStyle="1" w:styleId="CitazioneintensaCarattere">
    <w:name w:val="Citazione intensa Carattere"/>
    <w:rPr>
      <w:b/>
      <w:bCs/>
      <w:i/>
      <w:iCs/>
      <w:color w:val="2DA2BF"/>
    </w:rPr>
  </w:style>
  <w:style w:type="character" w:styleId="Enfasidelicata">
    <w:name w:val="Subtle Emphasis"/>
    <w:qFormat/>
    <w:rPr>
      <w:i/>
      <w:iCs/>
      <w:color w:val="808080"/>
    </w:rPr>
  </w:style>
  <w:style w:type="character" w:styleId="Enfasiintensa">
    <w:name w:val="Intense Emphasis"/>
    <w:qFormat/>
    <w:rPr>
      <w:b/>
      <w:bCs/>
      <w:i/>
      <w:iCs/>
      <w:color w:val="2DA2BF"/>
    </w:rPr>
  </w:style>
  <w:style w:type="character" w:styleId="Riferimentodelicato">
    <w:name w:val="Subtle Reference"/>
    <w:qFormat/>
    <w:rPr>
      <w:smallCaps/>
      <w:color w:val="DA1F28"/>
      <w:u w:val="single"/>
    </w:rPr>
  </w:style>
  <w:style w:type="character" w:styleId="Riferimentointenso">
    <w:name w:val="Intense Reference"/>
    <w:qFormat/>
    <w:rPr>
      <w:b/>
      <w:bCs/>
      <w:smallCaps/>
      <w:color w:val="DA1F28"/>
      <w:spacing w:val="5"/>
      <w:u w:val="single"/>
    </w:rPr>
  </w:style>
  <w:style w:type="character" w:styleId="Titolodellibro">
    <w:name w:val="Book Title"/>
    <w:qFormat/>
    <w:rPr>
      <w:rFonts w:ascii="Tahoma" w:hAnsi="Tahoma" w:cs="Tahoma"/>
      <w:b/>
      <w:bCs/>
      <w:i/>
      <w:caps w:val="0"/>
      <w:smallCaps w:val="0"/>
      <w:spacing w:val="5"/>
      <w:sz w:val="20"/>
    </w:rPr>
  </w:style>
  <w:style w:type="character" w:customStyle="1" w:styleId="NUOVOSOTTOPARAGRAFOCarattere">
    <w:name w:val="NUOVOSOTTOPARAGRAFO Carattere"/>
    <w:rPr>
      <w:rFonts w:ascii="Tahoma" w:hAnsi="Tahoma" w:cs="Tahoma"/>
      <w:b/>
      <w:i/>
      <w:szCs w:val="22"/>
    </w:rPr>
  </w:style>
  <w:style w:type="character" w:customStyle="1" w:styleId="linkarticolo">
    <w:name w:val="linkarticolo"/>
    <w:basedOn w:val="Carpredefinitoparagrafo2"/>
  </w:style>
  <w:style w:type="character" w:customStyle="1" w:styleId="apple-converted-space">
    <w:name w:val="apple-converted-space"/>
    <w:basedOn w:val="Carpredefinitoparagrafo2"/>
  </w:style>
  <w:style w:type="character" w:customStyle="1" w:styleId="testo-note-sep">
    <w:name w:val="testo-note-sep"/>
    <w:basedOn w:val="Carpredefinitoparagrafo2"/>
  </w:style>
  <w:style w:type="character" w:styleId="Collegamentovisitato">
    <w:name w:val="FollowedHyperlink"/>
    <w:rPr>
      <w:color w:val="800080"/>
      <w:u w:val="single"/>
    </w:rPr>
  </w:style>
  <w:style w:type="character" w:customStyle="1" w:styleId="TestonotadichiusuraCarattere">
    <w:name w:val="Testo nota di chiusura Carattere"/>
    <w:rPr>
      <w:rFonts w:ascii="Times New Roman" w:hAnsi="Times New Roman" w:cs="Times New Roman"/>
    </w:rPr>
  </w:style>
  <w:style w:type="character" w:customStyle="1" w:styleId="Menzionenonrisolta1">
    <w:name w:val="Menzione non risolta1"/>
    <w:rPr>
      <w:color w:val="808080"/>
      <w:shd w:val="clear" w:color="auto" w:fill="E6E6E6"/>
    </w:rPr>
  </w:style>
  <w:style w:type="character" w:customStyle="1" w:styleId="titlebold">
    <w:name w:val="title_bold"/>
    <w:basedOn w:val="Carpredefinitoparagrafo2"/>
  </w:style>
  <w:style w:type="character" w:customStyle="1" w:styleId="abstract">
    <w:name w:val="abstract"/>
    <w:basedOn w:val="Carpredefinitoparagrafo2"/>
  </w:style>
  <w:style w:type="character" w:customStyle="1" w:styleId="CorpotestoCarattere">
    <w:name w:val="Corpo testo Carattere"/>
    <w:rPr>
      <w:rFonts w:ascii="Times New Roman" w:hAnsi="Times New Roman" w:cs="Times New Roman"/>
      <w:sz w:val="24"/>
      <w:szCs w:val="24"/>
    </w:rPr>
  </w:style>
  <w:style w:type="character" w:customStyle="1" w:styleId="fieldvalue">
    <w:name w:val="fieldvalue"/>
    <w:basedOn w:val="Carpredefinitoparagrafo2"/>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Caratterepredefinitoparagrafo">
    <w:name w:val="Carattere predefinito paragrafo"/>
  </w:style>
  <w:style w:type="character" w:customStyle="1" w:styleId="Punti">
    <w:name w:val="Punti"/>
    <w:rPr>
      <w:rFonts w:ascii="OpenSymbol" w:eastAsia="OpenSymbol" w:hAnsi="OpenSymbol" w:cs="OpenSymbol"/>
    </w:rPr>
  </w:style>
  <w:style w:type="character" w:customStyle="1" w:styleId="INS">
    <w:name w:val="INS"/>
  </w:style>
  <w:style w:type="character" w:customStyle="1" w:styleId="Caratteredinumerazione">
    <w:name w:val="Carattere di numerazione"/>
  </w:style>
  <w:style w:type="character" w:customStyle="1" w:styleId="44417405575630068141z0">
    <w:name w:val="44417405575630068141z0"/>
    <w:rPr>
      <w:rFonts w:ascii="Symbol" w:hAnsi="Symbol" w:cs="OpenSymbol"/>
    </w:rPr>
  </w:style>
  <w:style w:type="character" w:customStyle="1" w:styleId="44417405575630068141z1">
    <w:name w:val="44417405575630068141z1"/>
    <w:rPr>
      <w:rFonts w:ascii="OpenSymbol" w:hAnsi="OpenSymbol" w:cs="OpenSymbol"/>
    </w:rPr>
  </w:style>
  <w:style w:type="character" w:customStyle="1" w:styleId="44417405575630068141z2">
    <w:name w:val="44417405575630068141z2"/>
  </w:style>
  <w:style w:type="character" w:customStyle="1" w:styleId="44417405575630068141z3">
    <w:name w:val="44417405575630068141z3"/>
  </w:style>
  <w:style w:type="character" w:customStyle="1" w:styleId="44417405575630068141z4">
    <w:name w:val="44417405575630068141z4"/>
  </w:style>
  <w:style w:type="character" w:customStyle="1" w:styleId="44417405575630068141z5">
    <w:name w:val="44417405575630068141z5"/>
  </w:style>
  <w:style w:type="character" w:customStyle="1" w:styleId="44417405575630068141z6">
    <w:name w:val="44417405575630068141z6"/>
  </w:style>
  <w:style w:type="character" w:customStyle="1" w:styleId="44417405575630068141z7">
    <w:name w:val="44417405575630068141z7"/>
  </w:style>
  <w:style w:type="character" w:customStyle="1" w:styleId="44417405575630068141z8">
    <w:name w:val="44417405575630068141z8"/>
  </w:style>
  <w:style w:type="character" w:customStyle="1" w:styleId="63401976287866446711z0">
    <w:name w:val="63401976287866446711z0"/>
    <w:rPr>
      <w:rFonts w:ascii="Times New Roman" w:hAnsi="Times New Roman" w:cs="OpenSymbol"/>
      <w:caps w:val="0"/>
      <w:smallCaps w:val="0"/>
    </w:rPr>
  </w:style>
  <w:style w:type="character" w:customStyle="1" w:styleId="63401976287866446711z1">
    <w:name w:val="63401976287866446711z1"/>
    <w:rPr>
      <w:rFonts w:ascii="OpenSymbol" w:hAnsi="OpenSymbol" w:cs="OpenSymbol"/>
    </w:rPr>
  </w:style>
  <w:style w:type="character" w:customStyle="1" w:styleId="63401976287866446711z2">
    <w:name w:val="63401976287866446711z2"/>
    <w:rPr>
      <w:rFonts w:eastAsia="Times New Roman" w:cs="Candara"/>
      <w:b/>
      <w:bCs/>
      <w:i w:val="0"/>
      <w:iCs w:val="0"/>
      <w:caps w:val="0"/>
      <w:smallCaps w:val="0"/>
      <w:color w:val="000000"/>
    </w:rPr>
  </w:style>
  <w:style w:type="character" w:customStyle="1" w:styleId="63401976287866446711z4">
    <w:name w:val="63401976287866446711z4"/>
    <w:rPr>
      <w:rFonts w:eastAsia="Times New Roman" w:cs="Candara"/>
      <w:b w:val="0"/>
      <w:bCs w:val="0"/>
      <w:i w:val="0"/>
      <w:iCs w:val="0"/>
      <w:caps w:val="0"/>
      <w:smallCaps w:val="0"/>
      <w:color w:val="000000"/>
    </w:rPr>
  </w:style>
  <w:style w:type="character" w:customStyle="1" w:styleId="63401976287866446711z5">
    <w:name w:val="63401976287866446711z5"/>
    <w:rPr>
      <w:rFonts w:ascii="Times New Roman" w:eastAsia="Times New Roman" w:hAnsi="Times New Roman" w:cs="Times New Roman"/>
      <w:caps w:val="0"/>
      <w:smallCaps w:val="0"/>
      <w:color w:val="000000"/>
      <w:sz w:val="20"/>
    </w:rPr>
  </w:style>
  <w:style w:type="character" w:customStyle="1" w:styleId="63401976287866446711z6">
    <w:name w:val="63401976287866446711z6"/>
    <w:rPr>
      <w:rFonts w:eastAsia="Times New Roman"/>
    </w:rPr>
  </w:style>
  <w:style w:type="character" w:customStyle="1" w:styleId="63401976287866446711z7">
    <w:name w:val="63401976287866446711z7"/>
    <w:rPr>
      <w:rFonts w:ascii="Times New Roman" w:hAnsi="Times New Roman" w:cs="Times New Roman"/>
    </w:rPr>
  </w:style>
  <w:style w:type="character" w:customStyle="1" w:styleId="60708145704373511641z0">
    <w:name w:val="60708145704373511641z0"/>
    <w:rPr>
      <w:rFonts w:ascii="Symbol" w:hAnsi="Symbol" w:cs="OpenSymbol"/>
    </w:rPr>
  </w:style>
  <w:style w:type="character" w:customStyle="1" w:styleId="60708145704373511641z1">
    <w:name w:val="60708145704373511641z1"/>
    <w:rPr>
      <w:rFonts w:ascii="OpenSymbol" w:hAnsi="OpenSymbol" w:cs="OpenSymbol"/>
    </w:rPr>
  </w:style>
  <w:style w:type="character" w:customStyle="1" w:styleId="9569657124467467321z0">
    <w:name w:val="9569657124467467321z0"/>
    <w:rPr>
      <w:rFonts w:ascii="Symbol" w:hAnsi="Symbol" w:cs="OpenSymbol"/>
      <w:caps w:val="0"/>
      <w:smallCaps w:val="0"/>
    </w:rPr>
  </w:style>
  <w:style w:type="character" w:customStyle="1" w:styleId="9569657124467467321z1">
    <w:name w:val="9569657124467467321z1"/>
    <w:rPr>
      <w:rFonts w:ascii="OpenSymbol" w:hAnsi="OpenSymbol" w:cs="OpenSymbol"/>
    </w:rPr>
  </w:style>
  <w:style w:type="character" w:customStyle="1" w:styleId="WW-Caratteredellanota">
    <w:name w:val="WW-Carattere della nota"/>
  </w:style>
  <w:style w:type="character" w:customStyle="1" w:styleId="Caratterenotadichiusura">
    <w:name w:val="Carattere nota di chiusura"/>
  </w:style>
  <w:style w:type="character" w:customStyle="1" w:styleId="Rimandonotadichiusura1">
    <w:name w:val="Rimando nota di chiusura1"/>
    <w:rPr>
      <w:vertAlign w:val="superscript"/>
    </w:rPr>
  </w:style>
  <w:style w:type="character" w:customStyle="1" w:styleId="RTFNum21">
    <w:name w:val="RTF_Num 2 1"/>
    <w:rPr>
      <w:rFonts w:eastAsia="Times New Roman"/>
      <w:b w:val="0"/>
      <w:bCs w:val="0"/>
      <w:i w:val="0"/>
      <w:iCs w:val="0"/>
    </w:rPr>
  </w:style>
  <w:style w:type="character" w:customStyle="1" w:styleId="RTFNum22">
    <w:name w:val="RTF_Num 2 2"/>
    <w:rPr>
      <w:rFonts w:eastAsia="Times New Roman"/>
      <w:b/>
      <w:bCs/>
      <w:i w:val="0"/>
      <w:iCs w:val="0"/>
      <w:u w:val="none"/>
    </w:rPr>
  </w:style>
  <w:style w:type="character" w:customStyle="1" w:styleId="RTFNum23">
    <w:name w:val="RTF_Num 2 3"/>
    <w:rPr>
      <w:rFonts w:eastAsia="Times New Roman"/>
      <w:b/>
      <w:bCs/>
      <w:i w:val="0"/>
      <w:iCs w:val="0"/>
      <w:color w:val="000000"/>
    </w:rPr>
  </w:style>
  <w:style w:type="character" w:customStyle="1" w:styleId="RTFNum24">
    <w:name w:val="RTF_Num 2 4"/>
    <w:rPr>
      <w:rFonts w:eastAsia="Times New Roman"/>
      <w:b/>
      <w:bCs/>
      <w:i w:val="0"/>
      <w:iCs w:val="0"/>
      <w:color w:val="000000"/>
    </w:rPr>
  </w:style>
  <w:style w:type="character" w:customStyle="1" w:styleId="RTFNum25">
    <w:name w:val="RTF_Num 2 5"/>
    <w:rPr>
      <w:rFonts w:eastAsia="Times New Roman"/>
      <w:b w:val="0"/>
      <w:bCs w:val="0"/>
      <w:i w:val="0"/>
      <w:iCs w:val="0"/>
      <w:color w:val="000000"/>
    </w:rPr>
  </w:style>
  <w:style w:type="character" w:customStyle="1" w:styleId="RTFNum26">
    <w:name w:val="RTF_Num 2 6"/>
    <w:rPr>
      <w:rFonts w:ascii="Times New Roman" w:eastAsia="Times New Roman" w:hAnsi="Times New Roman" w:cs="Times New Roman"/>
      <w:color w:val="000000"/>
      <w:sz w:val="20"/>
    </w:rPr>
  </w:style>
  <w:style w:type="character" w:customStyle="1" w:styleId="RTFNum27">
    <w:name w:val="RTF_Num 2 7"/>
    <w:rPr>
      <w:rFonts w:eastAsia="Times New Roman"/>
    </w:rPr>
  </w:style>
  <w:style w:type="character" w:customStyle="1" w:styleId="RTFNum28">
    <w:name w:val="RTF_Num 2 8"/>
    <w:rPr>
      <w:rFonts w:eastAsia="Times New Roman"/>
    </w:rPr>
  </w:style>
  <w:style w:type="character" w:customStyle="1" w:styleId="RTFNum29">
    <w:name w:val="RTF_Num 2 9"/>
    <w:rPr>
      <w:rFonts w:eastAsia="Times New Roman"/>
    </w:rPr>
  </w:style>
  <w:style w:type="character" w:customStyle="1" w:styleId="61252204699719865821z0">
    <w:name w:val="61252204699719865821z0"/>
  </w:style>
  <w:style w:type="character" w:customStyle="1" w:styleId="61252204699719865821z1">
    <w:name w:val="61252204699719865821z1"/>
    <w:rPr>
      <w:rFonts w:ascii="Courier New" w:hAnsi="Courier New" w:cs="Courier New"/>
    </w:rPr>
  </w:style>
  <w:style w:type="character" w:customStyle="1" w:styleId="61252204699719865821z2">
    <w:name w:val="61252204699719865821z2"/>
  </w:style>
  <w:style w:type="character" w:customStyle="1" w:styleId="61252204699719865821z3">
    <w:name w:val="61252204699719865821z3"/>
  </w:style>
  <w:style w:type="character" w:customStyle="1" w:styleId="61252204699719865821z4">
    <w:name w:val="61252204699719865821z4"/>
  </w:style>
  <w:style w:type="character" w:customStyle="1" w:styleId="61252204699719865821z5">
    <w:name w:val="61252204699719865821z5"/>
  </w:style>
  <w:style w:type="character" w:customStyle="1" w:styleId="61252204699719865821z6">
    <w:name w:val="61252204699719865821z6"/>
  </w:style>
  <w:style w:type="character" w:customStyle="1" w:styleId="61252204699719865821z7">
    <w:name w:val="61252204699719865821z7"/>
  </w:style>
  <w:style w:type="character" w:customStyle="1" w:styleId="61252204699719865821z8">
    <w:name w:val="61252204699719865821z8"/>
  </w:style>
  <w:style w:type="character" w:customStyle="1" w:styleId="12736232443945013441z0">
    <w:name w:val="12736232443945013441z0"/>
    <w:rPr>
      <w:rFonts w:ascii="Symbol" w:hAnsi="Symbol" w:cs="OpenSymbol"/>
    </w:rPr>
  </w:style>
  <w:style w:type="character" w:customStyle="1" w:styleId="12736232443945013441z1">
    <w:name w:val="12736232443945013441z1"/>
    <w:rPr>
      <w:rFonts w:ascii="OpenSymbol" w:hAnsi="OpenSymbol" w:cs="OpenSymbol"/>
    </w:rPr>
  </w:style>
  <w:style w:type="character" w:customStyle="1" w:styleId="30452153158169333611z0">
    <w:name w:val="30452153158169333611z0"/>
    <w:rPr>
      <w:rFonts w:ascii="Symbol" w:hAnsi="Symbol" w:cs="OpenSymbol"/>
      <w:caps w:val="0"/>
      <w:smallCaps w:val="0"/>
    </w:rPr>
  </w:style>
  <w:style w:type="character" w:customStyle="1" w:styleId="30452153158169333611z1">
    <w:name w:val="30452153158169333611z1"/>
    <w:rPr>
      <w:rFonts w:ascii="OpenSymbol" w:hAnsi="OpenSymbol" w:cs="OpenSymbol"/>
    </w:rPr>
  </w:style>
  <w:style w:type="character" w:customStyle="1" w:styleId="12155996718724110321z0">
    <w:name w:val="12155996718724110321z0"/>
    <w:rPr>
      <w:rFonts w:ascii="Symbol" w:hAnsi="Symbol" w:cs="OpenSymbol"/>
      <w:caps w:val="0"/>
      <w:smallCaps w:val="0"/>
    </w:rPr>
  </w:style>
  <w:style w:type="character" w:customStyle="1" w:styleId="12155996718724110321z1">
    <w:name w:val="12155996718724110321z1"/>
    <w:rPr>
      <w:rFonts w:ascii="OpenSymbol" w:hAnsi="OpenSymbol" w:cs="OpenSymbol"/>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2">
    <w:name w:val="WW-Absatz-Standardschriftart12"/>
  </w:style>
  <w:style w:type="character" w:customStyle="1" w:styleId="WW-WW8Num1z0">
    <w:name w:val="WW-WW8Num1z0"/>
    <w:rPr>
      <w:rFonts w:ascii="Symbol" w:hAnsi="Symbol" w:cs="OpenSymbol"/>
    </w:rPr>
  </w:style>
  <w:style w:type="character" w:customStyle="1" w:styleId="WW-Absatz-Standardschriftart123">
    <w:name w:val="WW-Absatz-Standardschriftart123"/>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234">
    <w:name w:val="WW-Absatz-Standardschriftart1234"/>
  </w:style>
  <w:style w:type="character" w:customStyle="1" w:styleId="366207191z0">
    <w:name w:val="366207191z0"/>
    <w:rPr>
      <w:rFonts w:ascii="Symbol" w:hAnsi="Symbol" w:cs="OpenSymbol"/>
    </w:rPr>
  </w:style>
  <w:style w:type="character" w:customStyle="1" w:styleId="366207192z0">
    <w:name w:val="366207192z0"/>
    <w:rPr>
      <w:rFonts w:ascii="Symbol" w:hAnsi="Symbol" w:cs="OpenSymbol"/>
    </w:rPr>
  </w:style>
  <w:style w:type="character" w:customStyle="1" w:styleId="84112382306003882641z0">
    <w:name w:val="84112382306003882641z0"/>
  </w:style>
  <w:style w:type="character" w:customStyle="1" w:styleId="84112382306003882641z1">
    <w:name w:val="84112382306003882641z1"/>
  </w:style>
  <w:style w:type="character" w:customStyle="1" w:styleId="84112382306003882641z2">
    <w:name w:val="84112382306003882641z2"/>
  </w:style>
  <w:style w:type="character" w:customStyle="1" w:styleId="84112382306003882641z3">
    <w:name w:val="84112382306003882641z3"/>
  </w:style>
  <w:style w:type="character" w:customStyle="1" w:styleId="84112382306003882641z4">
    <w:name w:val="84112382306003882641z4"/>
  </w:style>
  <w:style w:type="character" w:customStyle="1" w:styleId="84112382306003882641z5">
    <w:name w:val="84112382306003882641z5"/>
  </w:style>
  <w:style w:type="character" w:customStyle="1" w:styleId="84112382306003882641z6">
    <w:name w:val="84112382306003882641z6"/>
  </w:style>
  <w:style w:type="character" w:customStyle="1" w:styleId="84112382306003882641z7">
    <w:name w:val="84112382306003882641z7"/>
  </w:style>
  <w:style w:type="character" w:customStyle="1" w:styleId="84112382306003882641z8">
    <w:name w:val="84112382306003882641z8"/>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Carpredefinitoparagrafo16">
    <w:name w:val="Car. predefinito paragrafo1"/>
  </w:style>
  <w:style w:type="character" w:customStyle="1" w:styleId="46304041421262683891z0">
    <w:name w:val="46304041421262683891z0"/>
  </w:style>
  <w:style w:type="character" w:customStyle="1" w:styleId="46304041421262683891z1">
    <w:name w:val="46304041421262683891z1"/>
  </w:style>
  <w:style w:type="character" w:customStyle="1" w:styleId="46304041421262683891z2">
    <w:name w:val="46304041421262683891z2"/>
  </w:style>
  <w:style w:type="character" w:customStyle="1" w:styleId="46304041421262683891z3">
    <w:name w:val="46304041421262683891z3"/>
  </w:style>
  <w:style w:type="character" w:customStyle="1" w:styleId="46304041421262683891z4">
    <w:name w:val="46304041421262683891z4"/>
  </w:style>
  <w:style w:type="character" w:customStyle="1" w:styleId="46304041421262683891z5">
    <w:name w:val="46304041421262683891z5"/>
  </w:style>
  <w:style w:type="character" w:customStyle="1" w:styleId="46304041421262683891z6">
    <w:name w:val="46304041421262683891z6"/>
  </w:style>
  <w:style w:type="character" w:customStyle="1" w:styleId="46304041421262683891z7">
    <w:name w:val="46304041421262683891z7"/>
  </w:style>
  <w:style w:type="character" w:customStyle="1" w:styleId="46304041421262683891z8">
    <w:name w:val="46304041421262683891z8"/>
  </w:style>
  <w:style w:type="character" w:customStyle="1" w:styleId="RTFNum210">
    <w:name w:val="RTF_Num 2 10"/>
    <w:rPr>
      <w:rFonts w:ascii="OpenSymbol" w:eastAsia="OpenSymbol" w:hAnsi="OpenSymbol" w:cs="OpenSymbol"/>
      <w:sz w:val="24"/>
      <w:lang w:val="it-IT"/>
    </w:rPr>
  </w:style>
  <w:style w:type="character" w:customStyle="1" w:styleId="EndnoteSymbol">
    <w:name w:val="Endnote Symbol"/>
    <w:rPr>
      <w:rFonts w:ascii="Century Gothic" w:eastAsia="Century Gothic" w:hAnsi="Century Gothic" w:cs="Century Gothic"/>
      <w:color w:val="000000"/>
      <w:sz w:val="24"/>
      <w:lang w:val="it-IT"/>
    </w:rPr>
  </w:style>
  <w:style w:type="character" w:customStyle="1" w:styleId="Normale1">
    <w:name w:val="Normale1"/>
    <w:rPr>
      <w:rFonts w:ascii="Century Gothic" w:eastAsia="Century Gothic" w:hAnsi="Century Gothic" w:cs="Century Gothic"/>
      <w:color w:val="000000"/>
      <w:sz w:val="24"/>
    </w:rPr>
  </w:style>
  <w:style w:type="character" w:customStyle="1" w:styleId="Testonotaapidipagina1">
    <w:name w:val="Testo nota a piè di pagina1"/>
    <w:rPr>
      <w:rFonts w:ascii="Century Gothic" w:eastAsia="Century Gothic" w:hAnsi="Century Gothic" w:cs="Century Gothic"/>
      <w:color w:val="000000"/>
      <w:sz w:val="20"/>
      <w:lang w:val="it-IT"/>
    </w:rPr>
  </w:style>
  <w:style w:type="character" w:customStyle="1" w:styleId="Reference">
    <w:name w:val="Reference"/>
    <w:rPr>
      <w:rFonts w:ascii="Century Gothic" w:eastAsia="Century Gothic" w:hAnsi="Century Gothic" w:cs="Century Gothic"/>
      <w:color w:val="000000"/>
      <w:sz w:val="20"/>
      <w:lang w:val="it-IT"/>
    </w:rPr>
  </w:style>
  <w:style w:type="character" w:customStyle="1" w:styleId="Testonotadichiusura1">
    <w:name w:val="Testo nota di chiusura1"/>
    <w:rPr>
      <w:rFonts w:ascii="Century Gothic" w:eastAsia="Century Gothic" w:hAnsi="Century Gothic" w:cs="Century Gothic"/>
      <w:color w:val="000000"/>
      <w:sz w:val="24"/>
      <w:lang w:val="it-IT"/>
    </w:rPr>
  </w:style>
  <w:style w:type="character" w:customStyle="1" w:styleId="WW-Reference">
    <w:name w:val="WW-Reference"/>
    <w:rPr>
      <w:rFonts w:ascii="Century Gothic" w:eastAsia="Century Gothic" w:hAnsi="Century Gothic" w:cs="Century Gothic"/>
      <w:color w:val="000000"/>
      <w:sz w:val="20"/>
      <w:lang w:val="it-IT"/>
    </w:rPr>
  </w:style>
  <w:style w:type="character" w:customStyle="1" w:styleId="WW-EndnoteSymbol">
    <w:name w:val="WW-Endnote Symbol"/>
    <w:rPr>
      <w:sz w:val="24"/>
      <w:szCs w:val="24"/>
      <w:lang w:val="it-IT"/>
    </w:rPr>
  </w:style>
  <w:style w:type="character" w:customStyle="1" w:styleId="WW-EndnoteSymbol1">
    <w:name w:val="WW-Endnote Symbol1"/>
    <w:rPr>
      <w:rFonts w:ascii="Century Gothic" w:eastAsia="Century Gothic" w:hAnsi="Century Gothic" w:cs="Century Gothic"/>
      <w:color w:val="000000"/>
      <w:sz w:val="24"/>
      <w:lang w:val="it-IT"/>
    </w:rPr>
  </w:style>
  <w:style w:type="character" w:customStyle="1" w:styleId="StrongEmphasis">
    <w:name w:val="Strong Emphasis"/>
    <w:rPr>
      <w:rFonts w:ascii="Century Gothic" w:eastAsia="Century Gothic" w:hAnsi="Century Gothic" w:cs="Century Gothic"/>
      <w:b/>
      <w:bCs/>
      <w:color w:val="000000"/>
      <w:sz w:val="24"/>
      <w:lang w:val="it-IT"/>
    </w:rPr>
  </w:style>
  <w:style w:type="character" w:customStyle="1" w:styleId="BulletSymbols">
    <w:name w:val="Bullet Symbols"/>
    <w:rPr>
      <w:rFonts w:ascii="OpenSymbol" w:eastAsia="OpenSymbol" w:hAnsi="OpenSymbol" w:cs="OpenSymbol"/>
      <w:color w:val="000000"/>
      <w:sz w:val="24"/>
      <w:lang w:val="it-IT"/>
    </w:rPr>
  </w:style>
  <w:style w:type="character" w:customStyle="1" w:styleId="WW-EndnoteSymbol12">
    <w:name w:val="WW-Endnote Symbol12"/>
    <w:rPr>
      <w:sz w:val="24"/>
      <w:szCs w:val="24"/>
      <w:lang w:val="it-IT"/>
    </w:rPr>
  </w:style>
  <w:style w:type="character" w:customStyle="1" w:styleId="WW-EndnoteSymbol123">
    <w:name w:val="WW-Endnote Symbol123"/>
    <w:rPr>
      <w:rFonts w:ascii="Century Gothic" w:eastAsia="Century Gothic" w:hAnsi="Century Gothic" w:cs="Century Gothic"/>
      <w:color w:val="000000"/>
      <w:sz w:val="24"/>
      <w:lang w:val="it-IT"/>
    </w:rPr>
  </w:style>
  <w:style w:type="character" w:customStyle="1" w:styleId="Citazione1">
    <w:name w:val="Citazione1"/>
    <w:rPr>
      <w:i/>
      <w:iCs/>
    </w:rPr>
  </w:style>
  <w:style w:type="character" w:customStyle="1" w:styleId="45767539664716405311z0">
    <w:name w:val="45767539664716405311z0"/>
  </w:style>
  <w:style w:type="character" w:customStyle="1" w:styleId="45767539664716405311z1">
    <w:name w:val="45767539664716405311z1"/>
  </w:style>
  <w:style w:type="character" w:customStyle="1" w:styleId="45767539664716405311z2">
    <w:name w:val="45767539664716405311z2"/>
  </w:style>
  <w:style w:type="character" w:customStyle="1" w:styleId="45767539664716405311z3">
    <w:name w:val="45767539664716405311z3"/>
  </w:style>
  <w:style w:type="character" w:customStyle="1" w:styleId="45767539664716405311z4">
    <w:name w:val="45767539664716405311z4"/>
  </w:style>
  <w:style w:type="character" w:customStyle="1" w:styleId="45767539664716405311z5">
    <w:name w:val="45767539664716405311z5"/>
  </w:style>
  <w:style w:type="character" w:customStyle="1" w:styleId="45767539664716405311z6">
    <w:name w:val="45767539664716405311z6"/>
  </w:style>
  <w:style w:type="character" w:customStyle="1" w:styleId="45767539664716405311z7">
    <w:name w:val="45767539664716405311z7"/>
  </w:style>
  <w:style w:type="character" w:customStyle="1" w:styleId="45767539664716405311z8">
    <w:name w:val="45767539664716405311z8"/>
  </w:style>
  <w:style w:type="character" w:customStyle="1" w:styleId="7670448709850193721z0">
    <w:name w:val="7670448709850193721z0"/>
  </w:style>
  <w:style w:type="character" w:customStyle="1" w:styleId="7670448709850193721z1">
    <w:name w:val="7670448709850193721z1"/>
  </w:style>
  <w:style w:type="character" w:customStyle="1" w:styleId="7670448709850193721z2">
    <w:name w:val="7670448709850193721z2"/>
  </w:style>
  <w:style w:type="character" w:customStyle="1" w:styleId="7670448709850193721z3">
    <w:name w:val="7670448709850193721z3"/>
  </w:style>
  <w:style w:type="character" w:customStyle="1" w:styleId="7670448709850193721z4">
    <w:name w:val="7670448709850193721z4"/>
  </w:style>
  <w:style w:type="character" w:customStyle="1" w:styleId="7670448709850193721z5">
    <w:name w:val="7670448709850193721z5"/>
  </w:style>
  <w:style w:type="character" w:customStyle="1" w:styleId="7670448709850193721z6">
    <w:name w:val="7670448709850193721z6"/>
  </w:style>
  <w:style w:type="character" w:customStyle="1" w:styleId="7670448709850193721z7">
    <w:name w:val="7670448709850193721z7"/>
  </w:style>
  <w:style w:type="character" w:customStyle="1" w:styleId="7670448709850193721z8">
    <w:name w:val="7670448709850193721z8"/>
  </w:style>
  <w:style w:type="character" w:customStyle="1" w:styleId="21079048529218207151z0">
    <w:name w:val="21079048529218207151z0"/>
  </w:style>
  <w:style w:type="character" w:customStyle="1" w:styleId="21079048529218207151z1">
    <w:name w:val="21079048529218207151z1"/>
  </w:style>
  <w:style w:type="character" w:customStyle="1" w:styleId="21079048529218207151z2">
    <w:name w:val="21079048529218207151z2"/>
  </w:style>
  <w:style w:type="character" w:customStyle="1" w:styleId="21079048529218207151z3">
    <w:name w:val="21079048529218207151z3"/>
  </w:style>
  <w:style w:type="character" w:customStyle="1" w:styleId="21079048529218207151z4">
    <w:name w:val="21079048529218207151z4"/>
  </w:style>
  <w:style w:type="character" w:customStyle="1" w:styleId="21079048529218207151z5">
    <w:name w:val="21079048529218207151z5"/>
  </w:style>
  <w:style w:type="character" w:customStyle="1" w:styleId="21079048529218207151z6">
    <w:name w:val="21079048529218207151z6"/>
  </w:style>
  <w:style w:type="character" w:customStyle="1" w:styleId="21079048529218207151z7">
    <w:name w:val="21079048529218207151z7"/>
  </w:style>
  <w:style w:type="character" w:customStyle="1" w:styleId="21079048529218207151z8">
    <w:name w:val="21079048529218207151z8"/>
  </w:style>
  <w:style w:type="character" w:customStyle="1" w:styleId="ListLabel3">
    <w:name w:val="ListLabel 3"/>
    <w:rPr>
      <w:rFonts w:cs="OpenSymbol"/>
    </w:rPr>
  </w:style>
  <w:style w:type="character" w:customStyle="1" w:styleId="ListLabel1">
    <w:name w:val="ListLabel 1"/>
    <w:rPr>
      <w:rFonts w:cs="OpenSymbol"/>
      <w:caps w:val="0"/>
      <w:smallCaps w:val="0"/>
      <w:lang w:val="it-IT"/>
    </w:rPr>
  </w:style>
  <w:style w:type="character" w:customStyle="1" w:styleId="ListLabel2">
    <w:name w:val="ListLabel 2"/>
    <w:rPr>
      <w:rFonts w:cs="OpenSymbol"/>
      <w:caps w:val="0"/>
      <w:smallCaps w:val="0"/>
    </w:rPr>
  </w:style>
  <w:style w:type="character" w:customStyle="1" w:styleId="ListLabel6">
    <w:name w:val="ListLabel 6"/>
    <w:rPr>
      <w:rFonts w:eastAsia="Times New Roman" w:cs="Tahoma"/>
    </w:rPr>
  </w:style>
  <w:style w:type="character" w:customStyle="1" w:styleId="ListLabel5">
    <w:name w:val="ListLabel 5"/>
    <w:rPr>
      <w:rFonts w:cs="Courier New"/>
    </w:rPr>
  </w:style>
  <w:style w:type="character" w:customStyle="1" w:styleId="ListLabel4">
    <w:name w:val="ListLabel 4"/>
    <w:rPr>
      <w:rFonts w:cs="Symbol"/>
    </w:rPr>
  </w:style>
  <w:style w:type="character" w:customStyle="1" w:styleId="PreformattatoHTMLCarattere">
    <w:name w:val="Preformattato HTML Carattere"/>
    <w:rPr>
      <w:rFonts w:ascii="Courier New" w:eastAsia="Courier New" w:hAnsi="Courier New" w:cs="Courier New"/>
      <w:kern w:val="2"/>
      <w:szCs w:val="24"/>
    </w:rPr>
  </w:style>
  <w:style w:type="character" w:customStyle="1" w:styleId="RientrocorpodeltestoCarattere">
    <w:name w:val="Rientro corpo del testo Carattere"/>
    <w:rPr>
      <w:rFonts w:ascii="Times New Roman" w:hAnsi="Times New Roman" w:cs="Times New Roman"/>
      <w:kern w:val="2"/>
      <w:sz w:val="24"/>
      <w:szCs w:val="24"/>
    </w:rPr>
  </w:style>
  <w:style w:type="character" w:customStyle="1" w:styleId="Menzionenonrisolta2">
    <w:name w:val="Menzione non risolta2"/>
    <w:rPr>
      <w:color w:val="808080"/>
      <w:shd w:val="clear" w:color="auto" w:fill="E6E6E6"/>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2"/>
  </w:style>
  <w:style w:type="character" w:customStyle="1" w:styleId="SoggettocommentoCarattere">
    <w:name w:val="Soggetto commento Carattere"/>
    <w:rPr>
      <w:b/>
      <w:bCs/>
    </w:rPr>
  </w:style>
  <w:style w:type="character" w:customStyle="1" w:styleId="NessunaspaziaturaCarattere">
    <w:name w:val="Nessuna spaziatura Carattere"/>
    <w:rPr>
      <w:rFonts w:ascii="Calibri" w:hAnsi="Calibri" w:cs="Calibri"/>
      <w:sz w:val="22"/>
      <w:szCs w:val="22"/>
    </w:rPr>
  </w:style>
  <w:style w:type="character" w:customStyle="1" w:styleId="Corpodeltesto2Carattere">
    <w:name w:val="Corpo del testo 2 Carattere"/>
    <w:rPr>
      <w:rFonts w:ascii="Calibri" w:hAnsi="Calibri" w:cs="Calibri"/>
      <w:sz w:val="22"/>
      <w:szCs w:val="22"/>
    </w:rPr>
  </w:style>
  <w:style w:type="character" w:customStyle="1" w:styleId="Rientrocorpodeltesto2Carattere">
    <w:name w:val="Rientro corpo del testo 2 Carattere"/>
    <w:rPr>
      <w:sz w:val="24"/>
      <w:szCs w:val="24"/>
    </w:rPr>
  </w:style>
  <w:style w:type="character" w:customStyle="1" w:styleId="TestonormaleCarattere">
    <w:name w:val="Testo normale Carattere"/>
    <w:rPr>
      <w:rFonts w:ascii="Courier New" w:hAnsi="Courier New" w:cs="Courier New"/>
    </w:rPr>
  </w:style>
  <w:style w:type="character" w:customStyle="1" w:styleId="Rientrocorpodeltesto3Carattere">
    <w:name w:val="Rientro corpo del testo 3 Carattere"/>
    <w:rPr>
      <w:b/>
      <w:sz w:val="24"/>
      <w:szCs w:val="24"/>
    </w:rPr>
  </w:style>
  <w:style w:type="character" w:customStyle="1" w:styleId="Corpodeltesto3Carattere">
    <w:name w:val="Corpo del testo 3 Carattere"/>
    <w:rPr>
      <w:i/>
      <w:color w:val="0000FF"/>
      <w:sz w:val="24"/>
      <w:szCs w:val="24"/>
    </w:rPr>
  </w:style>
  <w:style w:type="character" w:customStyle="1" w:styleId="Rimandonotaapidipagina1">
    <w:name w:val="Rimando nota a piè di pagina1"/>
    <w:rPr>
      <w:rFonts w:cs="Times New Roman"/>
      <w:vertAlign w:val="superscript"/>
    </w:rPr>
  </w:style>
  <w:style w:type="character" w:customStyle="1" w:styleId="MappadocumentoCarattere">
    <w:name w:val="Mappa documento Carattere"/>
    <w:rPr>
      <w:rFonts w:ascii="Tahoma" w:hAnsi="Tahoma" w:cs="Tahoma"/>
      <w:sz w:val="24"/>
      <w:szCs w:val="24"/>
      <w:shd w:val="clear" w:color="auto" w:fill="000080"/>
    </w:rPr>
  </w:style>
  <w:style w:type="character" w:customStyle="1" w:styleId="Rimandonotadichiusura2">
    <w:name w:val="Rimando nota di chiusura2"/>
    <w:rPr>
      <w:rFonts w:cs="Times New Roman"/>
      <w:vertAlign w:val="superscript"/>
    </w:rPr>
  </w:style>
  <w:style w:type="character" w:customStyle="1" w:styleId="Rimandocommento2">
    <w:name w:val="Rimando commento2"/>
    <w:rPr>
      <w:rFonts w:cs="Times New Roman"/>
      <w:sz w:val="16"/>
    </w:rPr>
  </w:style>
  <w:style w:type="character" w:customStyle="1" w:styleId="TestocommentoCarattere1">
    <w:name w:val="Testo commento Carattere1"/>
    <w:rPr>
      <w:rFonts w:ascii="Calibri" w:hAnsi="Calibri" w:cs="Calibri"/>
    </w:rPr>
  </w:style>
  <w:style w:type="character" w:customStyle="1" w:styleId="provvnumart">
    <w:name w:val="provv_numart"/>
    <w:rPr>
      <w:rFonts w:cs="Times New Roman"/>
    </w:rPr>
  </w:style>
  <w:style w:type="character" w:customStyle="1" w:styleId="provvrubrica">
    <w:name w:val="provv_rubrica"/>
    <w:rPr>
      <w:rFonts w:cs="Times New Roman"/>
    </w:rPr>
  </w:style>
  <w:style w:type="character" w:customStyle="1" w:styleId="DataCarattere">
    <w:name w:val="Data Carattere"/>
    <w:rPr>
      <w:sz w:val="22"/>
      <w:lang w:val="en-GB"/>
    </w:rPr>
  </w:style>
  <w:style w:type="character" w:customStyle="1" w:styleId="IndirizzoindCarattere">
    <w:name w:val="Indirizzo.ind Carattere"/>
    <w:rPr>
      <w:sz w:val="22"/>
      <w:szCs w:val="22"/>
    </w:rPr>
  </w:style>
  <w:style w:type="character" w:customStyle="1" w:styleId="FirmaCarattere">
    <w:name w:val="Firma Carattere"/>
    <w:rPr>
      <w:sz w:val="22"/>
    </w:rPr>
  </w:style>
  <w:style w:type="character" w:customStyle="1" w:styleId="linkneltesto">
    <w:name w:val="link_nel_testo"/>
    <w:basedOn w:val="Carpredefinitoparagrafo1"/>
  </w:style>
  <w:style w:type="character" w:customStyle="1" w:styleId="Normale2">
    <w:name w:val="Normale2"/>
    <w:rPr>
      <w:rFonts w:ascii="Century Gothic" w:eastAsia="Century Gothic" w:hAnsi="Century Gothic" w:cs="Century Gothic"/>
      <w:color w:val="000000"/>
      <w:sz w:val="24"/>
    </w:rPr>
  </w:style>
  <w:style w:type="character" w:customStyle="1" w:styleId="Testonotaapidipagina2">
    <w:name w:val="Testo nota a piè di pagina2"/>
    <w:rPr>
      <w:rFonts w:ascii="Century Gothic" w:eastAsia="Century Gothic" w:hAnsi="Century Gothic" w:cs="Century Gothic"/>
      <w:color w:val="000000"/>
      <w:sz w:val="20"/>
      <w:lang w:val="it-IT"/>
    </w:rPr>
  </w:style>
  <w:style w:type="character" w:customStyle="1" w:styleId="Testonotadichiusura2">
    <w:name w:val="Testo nota di chiusura2"/>
    <w:rPr>
      <w:rFonts w:ascii="Century Gothic" w:eastAsia="Century Gothic" w:hAnsi="Century Gothic" w:cs="Century Gothic"/>
      <w:color w:val="000000"/>
      <w:sz w:val="24"/>
      <w:lang w:val="it-IT"/>
    </w:rPr>
  </w:style>
  <w:style w:type="character" w:customStyle="1" w:styleId="dentro">
    <w:name w:val="dentro"/>
  </w:style>
  <w:style w:type="character" w:customStyle="1" w:styleId="notranslate">
    <w:name w:val="notranslate"/>
  </w:style>
  <w:style w:type="character" w:customStyle="1" w:styleId="grame">
    <w:name w:val="grame"/>
  </w:style>
  <w:style w:type="character" w:customStyle="1" w:styleId="style4">
    <w:name w:val="style4"/>
  </w:style>
  <w:style w:type="character" w:customStyle="1" w:styleId="A2">
    <w:name w:val="A2"/>
    <w:rPr>
      <w:rFonts w:ascii="GoodPro-CondBold" w:hAnsi="GoodPro-CondBold" w:cs="GoodPro-CondBold"/>
      <w:b/>
      <w:bCs/>
      <w:color w:val="000000"/>
    </w:rPr>
  </w:style>
  <w:style w:type="character" w:customStyle="1" w:styleId="A1">
    <w:name w:val="A1"/>
    <w:rPr>
      <w:rFonts w:cs="GoodPro-WideBlack"/>
      <w:b/>
      <w:bCs/>
      <w:color w:val="000000"/>
      <w:sz w:val="28"/>
      <w:szCs w:val="28"/>
    </w:rPr>
  </w:style>
  <w:style w:type="character" w:customStyle="1" w:styleId="st1">
    <w:name w:val="st1"/>
  </w:style>
  <w:style w:type="character" w:customStyle="1" w:styleId="normaltextrun">
    <w:name w:val="normaltextrun"/>
  </w:style>
  <w:style w:type="character" w:customStyle="1" w:styleId="eop">
    <w:name w:val="eop"/>
  </w:style>
  <w:style w:type="character" w:customStyle="1" w:styleId="spellingerror">
    <w:name w:val="spellingerror"/>
  </w:style>
  <w:style w:type="character" w:customStyle="1" w:styleId="Rimandocommento3">
    <w:name w:val="Rimando commento3"/>
    <w:rPr>
      <w:sz w:val="16"/>
      <w:szCs w:val="16"/>
    </w:rPr>
  </w:style>
  <w:style w:type="character" w:customStyle="1" w:styleId="TestocommentoCarattere2">
    <w:name w:val="Testo commento Carattere2"/>
    <w:rPr>
      <w:rFonts w:ascii="Calibri" w:hAnsi="Calibri" w:cs="Calibri"/>
    </w:rPr>
  </w:style>
  <w:style w:type="character" w:customStyle="1" w:styleId="Rimandocommento4">
    <w:name w:val="Rimando commento4"/>
    <w:rPr>
      <w:sz w:val="16"/>
      <w:szCs w:val="16"/>
    </w:rPr>
  </w:style>
  <w:style w:type="character" w:customStyle="1" w:styleId="TestocommentoCarattere3">
    <w:name w:val="Testo commento Carattere3"/>
    <w:rPr>
      <w:rFonts w:ascii="Calibri" w:hAnsi="Calibri" w:cs="Calibri"/>
    </w:rPr>
  </w:style>
  <w:style w:type="character" w:customStyle="1" w:styleId="Rimandonotaapidipagina2">
    <w:name w:val="Rimando nota a piè di pagina2"/>
    <w:rPr>
      <w:vertAlign w:val="superscript"/>
    </w:rPr>
  </w:style>
  <w:style w:type="character" w:customStyle="1" w:styleId="Rientrocorpodeltesto2Carattere1">
    <w:name w:val="Rientro corpo del testo 2 Carattere1"/>
    <w:rPr>
      <w:rFonts w:ascii="Calibri" w:hAnsi="Calibri" w:cs="Calibri"/>
      <w:sz w:val="22"/>
      <w:szCs w:val="22"/>
    </w:rPr>
  </w:style>
  <w:style w:type="character" w:customStyle="1" w:styleId="Corpodeltesto3Carattere1">
    <w:name w:val="Corpo del testo 3 Carattere1"/>
    <w:rPr>
      <w:rFonts w:ascii="Calibri" w:hAnsi="Calibri" w:cs="Calibri"/>
      <w:sz w:val="16"/>
      <w:szCs w:val="16"/>
    </w:rPr>
  </w:style>
  <w:style w:type="character" w:customStyle="1" w:styleId="Corpodeltesto2Carattere1">
    <w:name w:val="Corpo del testo 2 Carattere1"/>
    <w:rPr>
      <w:rFonts w:ascii="Calibri" w:hAnsi="Calibri" w:cs="Calibri"/>
      <w:sz w:val="22"/>
      <w:szCs w:val="22"/>
    </w:rPr>
  </w:style>
  <w:style w:type="character" w:customStyle="1" w:styleId="CorpodeltestoCarattere">
    <w:name w:val="Corpo del testo Carattere"/>
    <w:rPr>
      <w:sz w:val="28"/>
    </w:rPr>
  </w:style>
  <w:style w:type="character" w:customStyle="1" w:styleId="Rimandocommento5">
    <w:name w:val="Rimando commento5"/>
    <w:rPr>
      <w:sz w:val="16"/>
      <w:szCs w:val="16"/>
    </w:rPr>
  </w:style>
  <w:style w:type="character" w:customStyle="1" w:styleId="TestocommentoCarattere4">
    <w:name w:val="Testo commento Carattere4"/>
    <w:rPr>
      <w:rFonts w:ascii="Calibri" w:hAnsi="Calibri" w:cs="Calibri"/>
    </w:rPr>
  </w:style>
  <w:style w:type="character" w:customStyle="1" w:styleId="Menzionenonrisolta3">
    <w:name w:val="Menzione non risolta3"/>
    <w:rPr>
      <w:color w:val="605E5C"/>
      <w:shd w:val="clear" w:color="auto" w:fill="E1DFDD"/>
    </w:rPr>
  </w:style>
  <w:style w:type="character" w:customStyle="1" w:styleId="Menzionenonrisolta4">
    <w:name w:val="Menzione non risolta4"/>
    <w:rPr>
      <w:color w:val="605E5C"/>
      <w:shd w:val="clear" w:color="auto" w:fill="E1DFDD"/>
    </w:rPr>
  </w:style>
  <w:style w:type="character" w:customStyle="1" w:styleId="glossaryterm">
    <w:name w:val="glossary__term"/>
    <w:basedOn w:val="Carpredefinitoparagrafo7"/>
  </w:style>
  <w:style w:type="character" w:customStyle="1" w:styleId="Menzionenonrisolta5">
    <w:name w:val="Menzione non risolta5"/>
    <w:rPr>
      <w:color w:val="605E5C"/>
      <w:shd w:val="clear" w:color="auto" w:fill="E1DFDD"/>
    </w:rPr>
  </w:style>
  <w:style w:type="character" w:customStyle="1" w:styleId="Collegamentoipertestuale1">
    <w:name w:val="Collegamento ipertestuale1"/>
    <w:rPr>
      <w:color w:val="0563C1"/>
      <w:u w:val="single"/>
    </w:rPr>
  </w:style>
  <w:style w:type="character" w:customStyle="1" w:styleId="NumberingSymbols">
    <w:name w:val="Numbering Symbols"/>
  </w:style>
  <w:style w:type="character" w:customStyle="1" w:styleId="carpredefinitoparagrafo0">
    <w:name w:val="carpredefinitoparagrafo"/>
    <w:basedOn w:val="Carpredefinitoparagrafo7"/>
  </w:style>
  <w:style w:type="character" w:customStyle="1" w:styleId="84023883049835679561z0">
    <w:name w:val="84023883049835679561z0"/>
    <w:rPr>
      <w:rFonts w:ascii="Symbol" w:hAnsi="Symbol" w:cs="StarSymbol"/>
      <w:sz w:val="18"/>
      <w:szCs w:val="18"/>
    </w:rPr>
  </w:style>
  <w:style w:type="character" w:customStyle="1" w:styleId="84023883049835679561z1">
    <w:name w:val="84023883049835679561z1"/>
    <w:rPr>
      <w:rFonts w:ascii="Wingdings 2" w:hAnsi="Wingdings 2" w:cs="StarSymbol"/>
      <w:sz w:val="18"/>
      <w:szCs w:val="18"/>
    </w:rPr>
  </w:style>
  <w:style w:type="character" w:customStyle="1" w:styleId="84023883049835679561z2">
    <w:name w:val="84023883049835679561z2"/>
    <w:rPr>
      <w:rFonts w:ascii="StarSymbol" w:hAnsi="StarSymbol" w:cs="StarSymbol"/>
      <w:sz w:val="18"/>
      <w:szCs w:val="18"/>
    </w:rPr>
  </w:style>
  <w:style w:type="character" w:customStyle="1" w:styleId="84023883049835679561z3">
    <w:name w:val="84023883049835679561z3"/>
  </w:style>
  <w:style w:type="character" w:customStyle="1" w:styleId="84023883049835679561z4">
    <w:name w:val="84023883049835679561z4"/>
  </w:style>
  <w:style w:type="character" w:customStyle="1" w:styleId="84023883049835679561z5">
    <w:name w:val="84023883049835679561z5"/>
  </w:style>
  <w:style w:type="character" w:customStyle="1" w:styleId="84023883049835679561z6">
    <w:name w:val="84023883049835679561z6"/>
  </w:style>
  <w:style w:type="character" w:customStyle="1" w:styleId="84023883049835679561z7">
    <w:name w:val="84023883049835679561z7"/>
  </w:style>
  <w:style w:type="character" w:customStyle="1" w:styleId="84023883049835679561z8">
    <w:name w:val="84023883049835679561z8"/>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TitoloRegolamento1">
    <w:name w:val="TitoloRegolamento1"/>
    <w:rPr>
      <w:rFonts w:ascii="Arial" w:hAnsi="Arial" w:cs="Arial"/>
      <w:sz w:val="32"/>
    </w:rPr>
  </w:style>
  <w:style w:type="character" w:customStyle="1" w:styleId="testo">
    <w:name w:val="testo"/>
    <w:basedOn w:val="Carpredefinitoparagrafo16"/>
  </w:style>
  <w:style w:type="character" w:customStyle="1" w:styleId="provvnumcomma">
    <w:name w:val="provv_numcomma"/>
    <w:rPr>
      <w:rFonts w:cs="Times New Roman"/>
    </w:rPr>
  </w:style>
  <w:style w:type="character" w:customStyle="1" w:styleId="Menzionenonrisolta6">
    <w:name w:val="Menzione non risolta6"/>
    <w:uiPriority w:val="99"/>
    <w:rPr>
      <w:color w:val="605E5C"/>
      <w:shd w:val="clear" w:color="auto" w:fill="E1DFDD"/>
    </w:rPr>
  </w:style>
  <w:style w:type="character" w:customStyle="1" w:styleId="WW-RTFNum21">
    <w:name w:val="WW-RTF_Num 2 1"/>
    <w:rPr>
      <w:rFonts w:eastAsia="Tahoma"/>
      <w:b/>
      <w:bCs/>
    </w:rPr>
  </w:style>
  <w:style w:type="character" w:customStyle="1" w:styleId="WW-RTFNum22">
    <w:name w:val="WW-RTF_Num 2 2"/>
    <w:rPr>
      <w:rFonts w:eastAsia="Tahoma"/>
    </w:rPr>
  </w:style>
  <w:style w:type="character" w:customStyle="1" w:styleId="WW-RTFNum23">
    <w:name w:val="WW-RTF_Num 2 3"/>
  </w:style>
  <w:style w:type="character" w:customStyle="1" w:styleId="WW-RTFNum24">
    <w:name w:val="WW-RTF_Num 2 4"/>
  </w:style>
  <w:style w:type="character" w:customStyle="1" w:styleId="WW-RTFNum25">
    <w:name w:val="WW-RTF_Num 2 5"/>
  </w:style>
  <w:style w:type="character" w:customStyle="1" w:styleId="WW-RTFNum26">
    <w:name w:val="WW-RTF_Num 2 6"/>
  </w:style>
  <w:style w:type="character" w:customStyle="1" w:styleId="WW-RTFNum27">
    <w:name w:val="WW-RTF_Num 2 7"/>
  </w:style>
  <w:style w:type="character" w:customStyle="1" w:styleId="WW-RTFNum28">
    <w:name w:val="WW-RTF_Num 2 8"/>
  </w:style>
  <w:style w:type="character" w:customStyle="1" w:styleId="WW-RTFNum29">
    <w:name w:val="WW-RTF_Num 2 9"/>
  </w:style>
  <w:style w:type="character" w:customStyle="1" w:styleId="jsgrdq">
    <w:name w:val="jsgrdq"/>
    <w:basedOn w:val="Carpredefinitoparagrafo13"/>
  </w:style>
  <w:style w:type="character" w:customStyle="1" w:styleId="Caratteridinumerazione">
    <w:name w:val="Caratteri di numerazione"/>
  </w:style>
  <w:style w:type="character" w:customStyle="1" w:styleId="WW8Num9z3">
    <w:name w:val="WW8Num9z3"/>
    <w:rPr>
      <w:rFonts w:ascii="Symbol" w:hAnsi="Symbol" w:cs="OpenSymbol"/>
      <w:color w:val="auto"/>
      <w:sz w:val="20"/>
      <w:szCs w:val="20"/>
      <w:lang w:val="it-IT" w:bidi="ar-SA"/>
    </w:rPr>
  </w:style>
  <w:style w:type="character" w:customStyle="1" w:styleId="WW8Num10z3">
    <w:name w:val="WW8Num10z3"/>
    <w:rPr>
      <w:rFonts w:ascii="Symbol" w:hAnsi="Symbol" w:cs="OpenSymbol"/>
    </w:rPr>
  </w:style>
  <w:style w:type="character" w:customStyle="1" w:styleId="WW8Num11z3">
    <w:name w:val="WW8Num11z3"/>
    <w:rPr>
      <w:rFonts w:ascii="Symbol" w:hAnsi="Symbol" w:cs="OpenSymbol"/>
    </w:rPr>
  </w:style>
  <w:style w:type="character" w:customStyle="1" w:styleId="WW8Num12z3">
    <w:name w:val="WW8Num12z3"/>
    <w:rPr>
      <w:rFonts w:ascii="Symbol" w:hAnsi="Symbol" w:cs="OpenSymbol"/>
      <w:szCs w:val="20"/>
    </w:rPr>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Caratterinotaapidipagina">
    <w:name w:val="Caratteri nota a piè di pagina"/>
    <w:rPr>
      <w:vertAlign w:val="superscript"/>
    </w:rPr>
  </w:style>
  <w:style w:type="character" w:styleId="CodiceHTML">
    <w:name w:val="HTML Code"/>
    <w:rPr>
      <w:rFonts w:ascii="Courier New" w:eastAsia="Times New Roman" w:hAnsi="Courier New" w:cs="Courier New"/>
      <w:sz w:val="20"/>
      <w:szCs w:val="20"/>
    </w:rPr>
  </w:style>
  <w:style w:type="character" w:customStyle="1" w:styleId="ListLabel7">
    <w:name w:val="ListLabel 7"/>
    <w:rPr>
      <w:rFonts w:eastAsia="Minion Pro"/>
      <w:b/>
      <w:bCs/>
      <w:w w:val="100"/>
      <w:sz w:val="18"/>
      <w:szCs w:val="18"/>
    </w:rPr>
  </w:style>
  <w:style w:type="character" w:customStyle="1" w:styleId="ListLabel8">
    <w:name w:val="ListLabel 8"/>
    <w:rPr>
      <w:rFonts w:eastAsia="Minion Pro"/>
      <w:w w:val="100"/>
      <w:sz w:val="16"/>
      <w:szCs w:val="16"/>
    </w:rPr>
  </w:style>
  <w:style w:type="character" w:customStyle="1" w:styleId="ListLabel9">
    <w:name w:val="ListLabel 9"/>
    <w:rPr>
      <w:rFonts w:eastAsia="Minion Pro"/>
      <w:w w:val="100"/>
      <w:sz w:val="18"/>
      <w:szCs w:val="18"/>
    </w:rPr>
  </w:style>
  <w:style w:type="character" w:customStyle="1" w:styleId="ListLabel10">
    <w:name w:val="ListLabel 10"/>
    <w:rPr>
      <w:rFonts w:eastAsia="Minion Pro"/>
      <w:w w:val="100"/>
      <w:sz w:val="18"/>
      <w:szCs w:val="18"/>
    </w:rPr>
  </w:style>
  <w:style w:type="character" w:customStyle="1" w:styleId="ListLabel11">
    <w:name w:val="ListLabel 11"/>
    <w:rPr>
      <w:rFonts w:eastAsia="HelveticaNeueLTStd-Cn"/>
      <w:color w:val="55565A"/>
      <w:w w:val="100"/>
      <w:sz w:val="36"/>
      <w:szCs w:val="36"/>
    </w:rPr>
  </w:style>
  <w:style w:type="character" w:customStyle="1" w:styleId="ListLabel12">
    <w:name w:val="ListLabel 12"/>
    <w:rPr>
      <w:rFonts w:eastAsia="HelveticaNeueLTStd-Cn"/>
      <w:color w:val="55565A"/>
      <w:w w:val="100"/>
      <w:sz w:val="26"/>
      <w:szCs w:val="26"/>
    </w:rPr>
  </w:style>
  <w:style w:type="character" w:customStyle="1" w:styleId="ListLabel13">
    <w:name w:val="ListLabel 13"/>
    <w:rPr>
      <w:rFonts w:eastAsia="HelveticaNeueLTStd-Cn"/>
      <w:color w:val="55565A"/>
      <w:w w:val="100"/>
      <w:sz w:val="26"/>
      <w:szCs w:val="26"/>
    </w:rPr>
  </w:style>
  <w:style w:type="character" w:customStyle="1" w:styleId="ListLabel14">
    <w:name w:val="ListLabel 14"/>
    <w:rPr>
      <w:rFonts w:eastAsia="Minion Pro"/>
      <w:color w:val="283583"/>
      <w:w w:val="100"/>
      <w:sz w:val="18"/>
      <w:szCs w:val="18"/>
    </w:rPr>
  </w:style>
  <w:style w:type="character" w:customStyle="1" w:styleId="ListLabel15">
    <w:name w:val="ListLabel 15"/>
    <w:rPr>
      <w:rFonts w:eastAsia="HelveticaNeueLTStd-Cn"/>
      <w:color w:val="55565A"/>
      <w:spacing w:val="-16"/>
      <w:w w:val="100"/>
      <w:sz w:val="26"/>
      <w:szCs w:val="26"/>
    </w:rPr>
  </w:style>
  <w:style w:type="character" w:customStyle="1" w:styleId="ListLabel16">
    <w:name w:val="ListLabel 16"/>
    <w:rPr>
      <w:rFonts w:eastAsia="HelveticaNeueLTStd-BdCn"/>
      <w:b/>
      <w:bCs/>
      <w:w w:val="100"/>
      <w:sz w:val="30"/>
      <w:szCs w:val="30"/>
    </w:rPr>
  </w:style>
  <w:style w:type="character" w:customStyle="1" w:styleId="38348698371z0">
    <w:name w:val="38348698371z0"/>
  </w:style>
  <w:style w:type="character" w:customStyle="1" w:styleId="38348698371z1">
    <w:name w:val="38348698371z1"/>
  </w:style>
  <w:style w:type="character" w:customStyle="1" w:styleId="38348698371z2">
    <w:name w:val="38348698371z2"/>
  </w:style>
  <w:style w:type="character" w:customStyle="1" w:styleId="38348698371z3">
    <w:name w:val="38348698371z3"/>
  </w:style>
  <w:style w:type="character" w:customStyle="1" w:styleId="38348698371z4">
    <w:name w:val="38348698371z4"/>
  </w:style>
  <w:style w:type="character" w:customStyle="1" w:styleId="38348698371z5">
    <w:name w:val="38348698371z5"/>
  </w:style>
  <w:style w:type="character" w:customStyle="1" w:styleId="38348698371z6">
    <w:name w:val="38348698371z6"/>
  </w:style>
  <w:style w:type="character" w:customStyle="1" w:styleId="38348698371z7">
    <w:name w:val="38348698371z7"/>
  </w:style>
  <w:style w:type="character" w:customStyle="1" w:styleId="38348698371z8">
    <w:name w:val="38348698371z8"/>
  </w:style>
  <w:style w:type="character" w:customStyle="1" w:styleId="16932695521z0">
    <w:name w:val="16932695521z0"/>
  </w:style>
  <w:style w:type="character" w:customStyle="1" w:styleId="16932695521z1">
    <w:name w:val="16932695521z1"/>
  </w:style>
  <w:style w:type="character" w:customStyle="1" w:styleId="16932695521z2">
    <w:name w:val="16932695521z2"/>
  </w:style>
  <w:style w:type="character" w:customStyle="1" w:styleId="16932695521z3">
    <w:name w:val="16932695521z3"/>
  </w:style>
  <w:style w:type="character" w:customStyle="1" w:styleId="16932695521z4">
    <w:name w:val="16932695521z4"/>
  </w:style>
  <w:style w:type="character" w:customStyle="1" w:styleId="16932695521z5">
    <w:name w:val="16932695521z5"/>
  </w:style>
  <w:style w:type="character" w:customStyle="1" w:styleId="16932695521z6">
    <w:name w:val="16932695521z6"/>
  </w:style>
  <w:style w:type="character" w:customStyle="1" w:styleId="16932695521z7">
    <w:name w:val="16932695521z7"/>
  </w:style>
  <w:style w:type="character" w:customStyle="1" w:styleId="16932695521z8">
    <w:name w:val="16932695521z8"/>
  </w:style>
  <w:style w:type="character" w:customStyle="1" w:styleId="28972467641z0">
    <w:name w:val="28972467641z0"/>
    <w:rPr>
      <w:rFonts w:ascii="Symbol" w:hAnsi="Symbol" w:cs="OpenSymbol"/>
    </w:rPr>
  </w:style>
  <w:style w:type="character" w:customStyle="1" w:styleId="28972467641z1">
    <w:name w:val="28972467641z1"/>
    <w:rPr>
      <w:rFonts w:ascii="OpenSymbol" w:hAnsi="OpenSymbol" w:cs="OpenSymbol"/>
    </w:rPr>
  </w:style>
  <w:style w:type="character" w:customStyle="1" w:styleId="17747095751z0">
    <w:name w:val="17747095751z0"/>
    <w:rPr>
      <w:rFonts w:ascii="Symbol" w:hAnsi="Symbol" w:cs="OpenSymbol"/>
    </w:rPr>
  </w:style>
  <w:style w:type="character" w:customStyle="1" w:styleId="17747095751z1">
    <w:name w:val="17747095751z1"/>
    <w:rPr>
      <w:rFonts w:ascii="OpenSymbol" w:hAnsi="OpenSymbol" w:cs="OpenSymbol"/>
    </w:rPr>
  </w:style>
  <w:style w:type="character" w:customStyle="1" w:styleId="26879930621z0">
    <w:name w:val="26879930621z0"/>
    <w:rPr>
      <w:rFonts w:ascii="Symbol" w:hAnsi="Symbol" w:cs="OpenSymbol"/>
    </w:rPr>
  </w:style>
  <w:style w:type="character" w:customStyle="1" w:styleId="26879930621z1">
    <w:name w:val="26879930621z1"/>
    <w:rPr>
      <w:rFonts w:ascii="OpenSymbol" w:hAnsi="OpenSymbol" w:cs="OpenSymbol"/>
    </w:rPr>
  </w:style>
  <w:style w:type="character" w:customStyle="1" w:styleId="37124944091z0">
    <w:name w:val="37124944091z0"/>
    <w:rPr>
      <w:rFonts w:ascii="Symbol" w:hAnsi="Symbol" w:cs="OpenSymbol"/>
      <w:color w:val="auto"/>
      <w:sz w:val="20"/>
      <w:szCs w:val="20"/>
    </w:rPr>
  </w:style>
  <w:style w:type="character" w:customStyle="1" w:styleId="37124944091z1">
    <w:name w:val="37124944091z1"/>
    <w:rPr>
      <w:rFonts w:ascii="OpenSymbol" w:hAnsi="OpenSymbol" w:cs="OpenSymbol"/>
    </w:rPr>
  </w:style>
  <w:style w:type="character" w:customStyle="1" w:styleId="19014171511z0">
    <w:name w:val="19014171511z0"/>
  </w:style>
  <w:style w:type="character" w:customStyle="1" w:styleId="19014171511z1">
    <w:name w:val="19014171511z1"/>
  </w:style>
  <w:style w:type="character" w:customStyle="1" w:styleId="19014171511z2">
    <w:name w:val="19014171511z2"/>
  </w:style>
  <w:style w:type="character" w:customStyle="1" w:styleId="19014171511z3">
    <w:name w:val="19014171511z3"/>
  </w:style>
  <w:style w:type="character" w:customStyle="1" w:styleId="19014171511z4">
    <w:name w:val="19014171511z4"/>
  </w:style>
  <w:style w:type="character" w:customStyle="1" w:styleId="19014171511z5">
    <w:name w:val="19014171511z5"/>
  </w:style>
  <w:style w:type="character" w:customStyle="1" w:styleId="19014171511z6">
    <w:name w:val="19014171511z6"/>
  </w:style>
  <w:style w:type="character" w:customStyle="1" w:styleId="19014171511z7">
    <w:name w:val="19014171511z7"/>
  </w:style>
  <w:style w:type="character" w:customStyle="1" w:styleId="19014171511z8">
    <w:name w:val="19014171511z8"/>
  </w:style>
  <w:style w:type="character" w:customStyle="1" w:styleId="24704054761z0">
    <w:name w:val="24704054761z0"/>
  </w:style>
  <w:style w:type="character" w:customStyle="1" w:styleId="24704054761z1">
    <w:name w:val="24704054761z1"/>
  </w:style>
  <w:style w:type="character" w:customStyle="1" w:styleId="24704054761z2">
    <w:name w:val="24704054761z2"/>
  </w:style>
  <w:style w:type="character" w:customStyle="1" w:styleId="24704054761z3">
    <w:name w:val="24704054761z3"/>
  </w:style>
  <w:style w:type="character" w:customStyle="1" w:styleId="24704054761z4">
    <w:name w:val="24704054761z4"/>
  </w:style>
  <w:style w:type="character" w:customStyle="1" w:styleId="24704054761z5">
    <w:name w:val="24704054761z5"/>
  </w:style>
  <w:style w:type="character" w:customStyle="1" w:styleId="24704054761z6">
    <w:name w:val="24704054761z6"/>
  </w:style>
  <w:style w:type="character" w:customStyle="1" w:styleId="24704054761z7">
    <w:name w:val="24704054761z7"/>
  </w:style>
  <w:style w:type="character" w:customStyle="1" w:styleId="24704054761z8">
    <w:name w:val="24704054761z8"/>
  </w:style>
  <w:style w:type="character" w:customStyle="1" w:styleId="12157859211z0">
    <w:name w:val="12157859211z0"/>
  </w:style>
  <w:style w:type="character" w:customStyle="1" w:styleId="12157859211z1">
    <w:name w:val="12157859211z1"/>
  </w:style>
  <w:style w:type="character" w:customStyle="1" w:styleId="12157859211z2">
    <w:name w:val="12157859211z2"/>
  </w:style>
  <w:style w:type="character" w:customStyle="1" w:styleId="12157859211z3">
    <w:name w:val="12157859211z3"/>
  </w:style>
  <w:style w:type="character" w:customStyle="1" w:styleId="12157859211z4">
    <w:name w:val="12157859211z4"/>
  </w:style>
  <w:style w:type="character" w:customStyle="1" w:styleId="12157859211z5">
    <w:name w:val="12157859211z5"/>
  </w:style>
  <w:style w:type="character" w:customStyle="1" w:styleId="12157859211z6">
    <w:name w:val="12157859211z6"/>
  </w:style>
  <w:style w:type="character" w:customStyle="1" w:styleId="12157859211z7">
    <w:name w:val="12157859211z7"/>
  </w:style>
  <w:style w:type="character" w:customStyle="1" w:styleId="12157859211z8">
    <w:name w:val="12157859211z8"/>
  </w:style>
  <w:style w:type="character" w:customStyle="1" w:styleId="30879676781z0">
    <w:name w:val="30879676781z0"/>
    <w:rPr>
      <w:rFonts w:ascii="Symbol" w:hAnsi="Symbol" w:cs="OpenSymbol"/>
      <w:sz w:val="20"/>
      <w:szCs w:val="20"/>
    </w:rPr>
  </w:style>
  <w:style w:type="character" w:customStyle="1" w:styleId="30879676781z1">
    <w:name w:val="30879676781z1"/>
    <w:rPr>
      <w:rFonts w:ascii="OpenSymbol" w:hAnsi="OpenSymbol" w:cs="OpenSymbol"/>
    </w:rPr>
  </w:style>
  <w:style w:type="character" w:customStyle="1" w:styleId="22574645811z0">
    <w:name w:val="22574645811z0"/>
    <w:rPr>
      <w:rFonts w:ascii="Symbol" w:hAnsi="Symbol" w:cs="Minion Pro"/>
      <w:w w:val="100"/>
      <w:sz w:val="20"/>
      <w:szCs w:val="20"/>
      <w:lang w:val="it-IT"/>
    </w:rPr>
  </w:style>
  <w:style w:type="character" w:customStyle="1" w:styleId="22574645811z1">
    <w:name w:val="22574645811z1"/>
    <w:rPr>
      <w:rFonts w:ascii="OpenSymbol" w:hAnsi="OpenSymbol" w:cs="Symbol"/>
    </w:rPr>
  </w:style>
  <w:style w:type="character" w:customStyle="1" w:styleId="33094292081z0">
    <w:name w:val="33094292081z0"/>
  </w:style>
  <w:style w:type="character" w:customStyle="1" w:styleId="33094292081z1">
    <w:name w:val="33094292081z1"/>
  </w:style>
  <w:style w:type="character" w:customStyle="1" w:styleId="33094292081z2">
    <w:name w:val="33094292081z2"/>
  </w:style>
  <w:style w:type="character" w:customStyle="1" w:styleId="33094292081z3">
    <w:name w:val="33094292081z3"/>
  </w:style>
  <w:style w:type="character" w:customStyle="1" w:styleId="33094292081z4">
    <w:name w:val="33094292081z4"/>
  </w:style>
  <w:style w:type="character" w:customStyle="1" w:styleId="33094292081z5">
    <w:name w:val="33094292081z5"/>
  </w:style>
  <w:style w:type="character" w:customStyle="1" w:styleId="33094292081z6">
    <w:name w:val="33094292081z6"/>
  </w:style>
  <w:style w:type="character" w:customStyle="1" w:styleId="33094292081z7">
    <w:name w:val="33094292081z7"/>
  </w:style>
  <w:style w:type="character" w:customStyle="1" w:styleId="33094292081z8">
    <w:name w:val="33094292081z8"/>
  </w:style>
  <w:style w:type="character" w:customStyle="1" w:styleId="4236697291z0">
    <w:name w:val="4236697291z0"/>
    <w:rPr>
      <w:rFonts w:ascii="Symbol" w:hAnsi="Symbol" w:cs="OpenSymbol"/>
    </w:rPr>
  </w:style>
  <w:style w:type="character" w:customStyle="1" w:styleId="4236697291z1">
    <w:name w:val="4236697291z1"/>
    <w:rPr>
      <w:rFonts w:ascii="OpenSymbol" w:hAnsi="OpenSymbol" w:cs="OpenSymbol"/>
    </w:rPr>
  </w:style>
  <w:style w:type="character" w:customStyle="1" w:styleId="27262176271z0">
    <w:name w:val="27262176271z0"/>
    <w:rPr>
      <w:rFonts w:ascii="Symbol" w:hAnsi="Symbol" w:cs="OpenSymbol"/>
    </w:rPr>
  </w:style>
  <w:style w:type="character" w:customStyle="1" w:styleId="27262176271z1">
    <w:name w:val="27262176271z1"/>
    <w:rPr>
      <w:rFonts w:ascii="OpenSymbol" w:hAnsi="OpenSymbol" w:cs="OpenSymbol"/>
    </w:rPr>
  </w:style>
  <w:style w:type="character" w:customStyle="1" w:styleId="3956139021z0">
    <w:name w:val="3956139021z0"/>
    <w:rPr>
      <w:rFonts w:ascii="Symbol" w:hAnsi="Symbol" w:cs="OpenSymbol"/>
    </w:rPr>
  </w:style>
  <w:style w:type="character" w:customStyle="1" w:styleId="3956139021z1">
    <w:name w:val="3956139021z1"/>
    <w:rPr>
      <w:rFonts w:ascii="OpenSymbol" w:hAnsi="OpenSymbol" w:cs="OpenSymbol"/>
    </w:rPr>
  </w:style>
  <w:style w:type="character" w:customStyle="1" w:styleId="29983094951z0">
    <w:name w:val="29983094951z0"/>
    <w:rPr>
      <w:rFonts w:ascii="Symbol" w:hAnsi="Symbol" w:cs="OpenSymbol"/>
    </w:rPr>
  </w:style>
  <w:style w:type="character" w:customStyle="1" w:styleId="29983094951z1">
    <w:name w:val="29983094951z1"/>
    <w:rPr>
      <w:rFonts w:ascii="OpenSymbol" w:hAnsi="OpenSymbol" w:cs="OpenSymbol"/>
    </w:rPr>
  </w:style>
  <w:style w:type="character" w:customStyle="1" w:styleId="postbody">
    <w:name w:val="postbody"/>
    <w:basedOn w:val="Carpredefinitoparagrafo2"/>
  </w:style>
  <w:style w:type="character" w:customStyle="1" w:styleId="22247263681z0">
    <w:name w:val="22247263681z0"/>
  </w:style>
  <w:style w:type="character" w:customStyle="1" w:styleId="22247263681z1">
    <w:name w:val="22247263681z1"/>
  </w:style>
  <w:style w:type="character" w:customStyle="1" w:styleId="22247263681z2">
    <w:name w:val="22247263681z2"/>
  </w:style>
  <w:style w:type="character" w:customStyle="1" w:styleId="22247263681z3">
    <w:name w:val="22247263681z3"/>
  </w:style>
  <w:style w:type="character" w:customStyle="1" w:styleId="22247263681z4">
    <w:name w:val="22247263681z4"/>
  </w:style>
  <w:style w:type="character" w:customStyle="1" w:styleId="22247263681z5">
    <w:name w:val="22247263681z5"/>
  </w:style>
  <w:style w:type="character" w:customStyle="1" w:styleId="22247263681z6">
    <w:name w:val="22247263681z6"/>
  </w:style>
  <w:style w:type="character" w:customStyle="1" w:styleId="22247263681z7">
    <w:name w:val="22247263681z7"/>
  </w:style>
  <w:style w:type="character" w:customStyle="1" w:styleId="22247263681z8">
    <w:name w:val="22247263681z8"/>
  </w:style>
  <w:style w:type="character" w:customStyle="1" w:styleId="13588930701z0">
    <w:name w:val="13588930701z0"/>
    <w:rPr>
      <w:rFonts w:ascii="Symbol" w:hAnsi="Symbol" w:cs="OpenSymbol"/>
    </w:rPr>
  </w:style>
  <w:style w:type="character" w:customStyle="1" w:styleId="13588930701z1">
    <w:name w:val="13588930701z1"/>
    <w:rPr>
      <w:rFonts w:ascii="OpenSymbol" w:hAnsi="OpenSymbol" w:cs="OpenSymbol"/>
    </w:rPr>
  </w:style>
  <w:style w:type="character" w:customStyle="1" w:styleId="6611220901z0">
    <w:name w:val="6611220901z0"/>
    <w:rPr>
      <w:rFonts w:ascii="Symbol" w:hAnsi="Symbol" w:cs="OpenSymbol"/>
    </w:rPr>
  </w:style>
  <w:style w:type="character" w:customStyle="1" w:styleId="6611220901z1">
    <w:name w:val="6611220901z1"/>
    <w:rPr>
      <w:rFonts w:ascii="OpenSymbol" w:hAnsi="OpenSymbol" w:cs="OpenSymbol"/>
    </w:rPr>
  </w:style>
  <w:style w:type="character" w:customStyle="1" w:styleId="26469520301z0">
    <w:name w:val="26469520301z0"/>
  </w:style>
  <w:style w:type="character" w:customStyle="1" w:styleId="26469520301z1">
    <w:name w:val="26469520301z1"/>
  </w:style>
  <w:style w:type="character" w:customStyle="1" w:styleId="26469520301z2">
    <w:name w:val="26469520301z2"/>
  </w:style>
  <w:style w:type="character" w:customStyle="1" w:styleId="26469520301z3">
    <w:name w:val="26469520301z3"/>
  </w:style>
  <w:style w:type="character" w:customStyle="1" w:styleId="26469520301z4">
    <w:name w:val="26469520301z4"/>
  </w:style>
  <w:style w:type="character" w:customStyle="1" w:styleId="26469520301z5">
    <w:name w:val="26469520301z5"/>
  </w:style>
  <w:style w:type="character" w:customStyle="1" w:styleId="26469520301z6">
    <w:name w:val="26469520301z6"/>
  </w:style>
  <w:style w:type="character" w:customStyle="1" w:styleId="26469520301z7">
    <w:name w:val="26469520301z7"/>
  </w:style>
  <w:style w:type="character" w:customStyle="1" w:styleId="26469520301z8">
    <w:name w:val="26469520301z8"/>
  </w:style>
  <w:style w:type="character" w:customStyle="1" w:styleId="WW-WW8Num2z0">
    <w:name w:val="WW-WW8Num2z0"/>
    <w:rPr>
      <w:rFonts w:ascii="Symbol" w:hAnsi="Symbol" w:cs="OpenSymbol"/>
    </w:rPr>
  </w:style>
  <w:style w:type="character" w:customStyle="1" w:styleId="WW-WW8Num2z1">
    <w:name w:val="WW-WW8Num2z1"/>
    <w:rPr>
      <w:rFonts w:ascii="OpenSymbol" w:hAnsi="OpenSymbol" w:cs="OpenSymbol"/>
    </w:rPr>
  </w:style>
  <w:style w:type="character" w:customStyle="1" w:styleId="708378651z0">
    <w:name w:val="708378651z0"/>
  </w:style>
  <w:style w:type="character" w:customStyle="1" w:styleId="708378651z1">
    <w:name w:val="708378651z1"/>
  </w:style>
  <w:style w:type="character" w:customStyle="1" w:styleId="708378651z2">
    <w:name w:val="708378651z2"/>
  </w:style>
  <w:style w:type="character" w:customStyle="1" w:styleId="708378651z3">
    <w:name w:val="708378651z3"/>
  </w:style>
  <w:style w:type="character" w:customStyle="1" w:styleId="708378651z4">
    <w:name w:val="708378651z4"/>
  </w:style>
  <w:style w:type="character" w:customStyle="1" w:styleId="708378651z5">
    <w:name w:val="708378651z5"/>
  </w:style>
  <w:style w:type="character" w:customStyle="1" w:styleId="708378651z6">
    <w:name w:val="708378651z6"/>
  </w:style>
  <w:style w:type="character" w:customStyle="1" w:styleId="708378651z7">
    <w:name w:val="708378651z7"/>
  </w:style>
  <w:style w:type="character" w:customStyle="1" w:styleId="708378651z8">
    <w:name w:val="708378651z8"/>
  </w:style>
  <w:style w:type="character" w:customStyle="1" w:styleId="39996422561z0">
    <w:name w:val="39996422561z0"/>
    <w:rPr>
      <w:rFonts w:ascii="Symbol" w:hAnsi="Symbol" w:cs="OpenSymbol"/>
      <w:caps w:val="0"/>
      <w:smallCaps w:val="0"/>
      <w:color w:val="000000"/>
      <w:spacing w:val="0"/>
      <w:sz w:val="20"/>
      <w:szCs w:val="20"/>
    </w:rPr>
  </w:style>
  <w:style w:type="character" w:customStyle="1" w:styleId="39996422561z1">
    <w:name w:val="39996422561z1"/>
    <w:rPr>
      <w:rFonts w:ascii="OpenSymbol" w:hAnsi="OpenSymbol" w:cs="OpenSymbol"/>
      <w:caps w:val="0"/>
      <w:smallCaps w:val="0"/>
      <w:color w:val="000000"/>
      <w:spacing w:val="0"/>
      <w:sz w:val="20"/>
      <w:szCs w:val="20"/>
    </w:rPr>
  </w:style>
  <w:style w:type="character" w:customStyle="1" w:styleId="39754262991z0">
    <w:name w:val="39754262991z0"/>
    <w:rPr>
      <w:rFonts w:ascii="Symbol" w:hAnsi="Symbol" w:cs="OpenSymbol"/>
      <w:caps w:val="0"/>
      <w:smallCaps w:val="0"/>
      <w:color w:val="000000"/>
      <w:spacing w:val="0"/>
      <w:sz w:val="20"/>
      <w:szCs w:val="20"/>
    </w:rPr>
  </w:style>
  <w:style w:type="character" w:customStyle="1" w:styleId="39754262991z1">
    <w:name w:val="39754262991z1"/>
    <w:rPr>
      <w:rFonts w:ascii="OpenSymbol" w:hAnsi="OpenSymbol" w:cs="OpenSymbol"/>
    </w:rPr>
  </w:style>
  <w:style w:type="character" w:customStyle="1" w:styleId="3877149501z0">
    <w:name w:val="3877149501z0"/>
    <w:rPr>
      <w:rFonts w:ascii="Symbol" w:hAnsi="Symbol" w:cs="OpenSymbol"/>
      <w:caps w:val="0"/>
      <w:smallCaps w:val="0"/>
      <w:color w:val="000000"/>
      <w:spacing w:val="0"/>
      <w:sz w:val="20"/>
      <w:szCs w:val="20"/>
    </w:rPr>
  </w:style>
  <w:style w:type="character" w:customStyle="1" w:styleId="3877149501z1">
    <w:name w:val="3877149501z1"/>
    <w:rPr>
      <w:rFonts w:ascii="OpenSymbol" w:hAnsi="OpenSymbol" w:cs="OpenSymbol"/>
      <w:caps w:val="0"/>
      <w:smallCaps w:val="0"/>
      <w:color w:val="000000"/>
      <w:spacing w:val="0"/>
      <w:sz w:val="20"/>
      <w:szCs w:val="20"/>
    </w:rPr>
  </w:style>
  <w:style w:type="character" w:customStyle="1" w:styleId="29724707461z0">
    <w:name w:val="29724707461z0"/>
    <w:rPr>
      <w:rFonts w:ascii="Symbol" w:hAnsi="Symbol" w:cs="OpenSymbol"/>
    </w:rPr>
  </w:style>
  <w:style w:type="character" w:customStyle="1" w:styleId="29724707461z1">
    <w:name w:val="29724707461z1"/>
    <w:rPr>
      <w:rFonts w:ascii="OpenSymbol" w:hAnsi="OpenSymbol" w:cs="OpenSymbol"/>
      <w:caps w:val="0"/>
      <w:smallCaps w:val="0"/>
      <w:color w:val="000000"/>
      <w:spacing w:val="0"/>
      <w:sz w:val="20"/>
      <w:szCs w:val="20"/>
    </w:rPr>
  </w:style>
  <w:style w:type="character" w:customStyle="1" w:styleId="20738284791z0">
    <w:name w:val="20738284791z0"/>
  </w:style>
  <w:style w:type="character" w:customStyle="1" w:styleId="20738284791z1">
    <w:name w:val="20738284791z1"/>
  </w:style>
  <w:style w:type="character" w:customStyle="1" w:styleId="20738284791z2">
    <w:name w:val="20738284791z2"/>
  </w:style>
  <w:style w:type="character" w:customStyle="1" w:styleId="20738284791z3">
    <w:name w:val="20738284791z3"/>
  </w:style>
  <w:style w:type="character" w:customStyle="1" w:styleId="20738284791z4">
    <w:name w:val="20738284791z4"/>
  </w:style>
  <w:style w:type="character" w:customStyle="1" w:styleId="20738284791z5">
    <w:name w:val="20738284791z5"/>
  </w:style>
  <w:style w:type="character" w:customStyle="1" w:styleId="20738284791z6">
    <w:name w:val="20738284791z6"/>
  </w:style>
  <w:style w:type="character" w:customStyle="1" w:styleId="20738284791z7">
    <w:name w:val="20738284791z7"/>
  </w:style>
  <w:style w:type="character" w:customStyle="1" w:styleId="20738284791z8">
    <w:name w:val="20738284791z8"/>
  </w:style>
  <w:style w:type="character" w:customStyle="1" w:styleId="Caratterinotadichiusura">
    <w:name w:val="Caratteri nota di chiusura"/>
    <w:rPr>
      <w:vertAlign w:val="superscript"/>
    </w:rPr>
  </w:style>
  <w:style w:type="character" w:customStyle="1" w:styleId="WW-Caratterinotadichiusura">
    <w:name w:val="WW-Caratteri nota di chiusura"/>
  </w:style>
  <w:style w:type="character" w:customStyle="1" w:styleId="TitoloCarattere1">
    <w:name w:val="Titolo Carattere1"/>
    <w:rPr>
      <w:rFonts w:ascii="Calibri Light" w:eastAsia="Times New Roman" w:hAnsi="Calibri Light" w:cs="Times New Roman"/>
      <w:b/>
      <w:bCs/>
      <w:kern w:val="2"/>
      <w:sz w:val="32"/>
      <w:szCs w:val="32"/>
      <w:lang w:eastAsia="zh-CN"/>
    </w:rPr>
  </w:style>
  <w:style w:type="character" w:customStyle="1" w:styleId="Rimandonotaapidipagina3">
    <w:name w:val="Rimando nota a piè di pagina3"/>
    <w:rPr>
      <w:vertAlign w:val="superscript"/>
    </w:rPr>
  </w:style>
  <w:style w:type="character" w:customStyle="1" w:styleId="Rimandonotadichiusura3">
    <w:name w:val="Rimando nota di chiusura3"/>
    <w:rPr>
      <w:vertAlign w:val="superscript"/>
    </w:rPr>
  </w:style>
  <w:style w:type="character" w:customStyle="1" w:styleId="TitoloCarattere2">
    <w:name w:val="Titolo Carattere2"/>
    <w:rPr>
      <w:rFonts w:ascii="Calibri Light" w:hAnsi="Calibri Light" w:cs="Calibri Light"/>
      <w:b/>
      <w:bCs/>
      <w:kern w:val="2"/>
      <w:sz w:val="32"/>
      <w:szCs w:val="32"/>
      <w:lang w:eastAsia="zh-CN"/>
    </w:rPr>
  </w:style>
  <w:style w:type="character" w:customStyle="1" w:styleId="20615232671z0">
    <w:name w:val="20615232671z0"/>
  </w:style>
  <w:style w:type="character" w:customStyle="1" w:styleId="20615232671z1">
    <w:name w:val="20615232671z1"/>
  </w:style>
  <w:style w:type="character" w:customStyle="1" w:styleId="20615232671z2">
    <w:name w:val="20615232671z2"/>
  </w:style>
  <w:style w:type="character" w:customStyle="1" w:styleId="20615232671z3">
    <w:name w:val="20615232671z3"/>
  </w:style>
  <w:style w:type="character" w:customStyle="1" w:styleId="20615232671z4">
    <w:name w:val="20615232671z4"/>
  </w:style>
  <w:style w:type="character" w:customStyle="1" w:styleId="20615232671z5">
    <w:name w:val="20615232671z5"/>
  </w:style>
  <w:style w:type="character" w:customStyle="1" w:styleId="20615232671z6">
    <w:name w:val="20615232671z6"/>
  </w:style>
  <w:style w:type="character" w:customStyle="1" w:styleId="20615232671z7">
    <w:name w:val="20615232671z7"/>
  </w:style>
  <w:style w:type="character" w:customStyle="1" w:styleId="20615232671z8">
    <w:name w:val="20615232671z8"/>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2686138291z0">
    <w:name w:val="2686138291z0"/>
    <w:rPr>
      <w:rFonts w:ascii="Symbol" w:hAnsi="Symbol" w:cs="OpenSymbol"/>
    </w:rPr>
  </w:style>
  <w:style w:type="character" w:customStyle="1" w:styleId="2686138291z1">
    <w:name w:val="2686138291z1"/>
    <w:rPr>
      <w:rFonts w:ascii="OpenSymbol" w:hAnsi="OpenSymbol" w:cs="OpenSymbol"/>
    </w:rPr>
  </w:style>
  <w:style w:type="character" w:customStyle="1" w:styleId="28351598631z0">
    <w:name w:val="28351598631z0"/>
    <w:rPr>
      <w:rFonts w:ascii="Symbol" w:hAnsi="Symbol" w:cs="OpenSymbol"/>
    </w:rPr>
  </w:style>
  <w:style w:type="character" w:customStyle="1" w:styleId="28351598631z1">
    <w:name w:val="28351598631z1"/>
    <w:rPr>
      <w:rFonts w:ascii="OpenSymbol" w:hAnsi="OpenSymbol" w:cs="OpenSymbol"/>
    </w:rPr>
  </w:style>
  <w:style w:type="character" w:customStyle="1" w:styleId="17361045791z0">
    <w:name w:val="17361045791z0"/>
    <w:rPr>
      <w:rFonts w:ascii="Symbol" w:hAnsi="Symbol" w:cs="OpenSymbol"/>
    </w:rPr>
  </w:style>
  <w:style w:type="character" w:customStyle="1" w:styleId="17361045791z1">
    <w:name w:val="17361045791z1"/>
    <w:rPr>
      <w:rFonts w:ascii="OpenSymbol" w:hAnsi="OpenSymbol" w:cs="OpenSymbol"/>
    </w:rPr>
  </w:style>
  <w:style w:type="character" w:customStyle="1" w:styleId="19602756001z0">
    <w:name w:val="19602756001z0"/>
    <w:rPr>
      <w:rFonts w:ascii="Symbol" w:hAnsi="Symbol" w:cs="OpenSymbol"/>
    </w:rPr>
  </w:style>
  <w:style w:type="character" w:customStyle="1" w:styleId="19602756001z1">
    <w:name w:val="19602756001z1"/>
    <w:rPr>
      <w:rFonts w:ascii="OpenSymbol" w:hAnsi="OpenSymbol" w:cs="OpenSymbol"/>
    </w:rPr>
  </w:style>
  <w:style w:type="character" w:customStyle="1" w:styleId="9967573581z0">
    <w:name w:val="9967573581z0"/>
    <w:rPr>
      <w:rFonts w:ascii="Symbol" w:hAnsi="Symbol" w:cs="OpenSymbol"/>
    </w:rPr>
  </w:style>
  <w:style w:type="character" w:customStyle="1" w:styleId="9967573581z1">
    <w:name w:val="9967573581z1"/>
    <w:rPr>
      <w:rFonts w:ascii="OpenSymbol" w:hAnsi="OpenSymbol" w:cs="OpenSymbol"/>
    </w:rPr>
  </w:style>
  <w:style w:type="character" w:customStyle="1" w:styleId="18268703451z0">
    <w:name w:val="18268703451z0"/>
    <w:rPr>
      <w:rFonts w:ascii="Symbol" w:hAnsi="Symbol" w:cs="OpenSymbol"/>
    </w:rPr>
  </w:style>
  <w:style w:type="character" w:customStyle="1" w:styleId="18268703451z1">
    <w:name w:val="18268703451z1"/>
    <w:rPr>
      <w:rFonts w:ascii="OpenSymbol" w:hAnsi="OpenSymbol" w:cs="OpenSymbol"/>
    </w:rPr>
  </w:style>
  <w:style w:type="character" w:customStyle="1" w:styleId="12878777131z0">
    <w:name w:val="12878777131z0"/>
  </w:style>
  <w:style w:type="character" w:customStyle="1" w:styleId="12878777131z1">
    <w:name w:val="12878777131z1"/>
  </w:style>
  <w:style w:type="character" w:customStyle="1" w:styleId="12878777131z2">
    <w:name w:val="12878777131z2"/>
  </w:style>
  <w:style w:type="character" w:customStyle="1" w:styleId="12878777131z3">
    <w:name w:val="12878777131z3"/>
  </w:style>
  <w:style w:type="character" w:customStyle="1" w:styleId="12878777131z4">
    <w:name w:val="12878777131z4"/>
  </w:style>
  <w:style w:type="character" w:customStyle="1" w:styleId="12878777131z5">
    <w:name w:val="12878777131z5"/>
  </w:style>
  <w:style w:type="character" w:customStyle="1" w:styleId="12878777131z6">
    <w:name w:val="12878777131z6"/>
  </w:style>
  <w:style w:type="character" w:customStyle="1" w:styleId="12878777131z7">
    <w:name w:val="12878777131z7"/>
  </w:style>
  <w:style w:type="character" w:customStyle="1" w:styleId="12878777131z8">
    <w:name w:val="12878777131z8"/>
  </w:style>
  <w:style w:type="character" w:customStyle="1" w:styleId="5071893851z0">
    <w:name w:val="5071893851z0"/>
  </w:style>
  <w:style w:type="character" w:customStyle="1" w:styleId="5071893851z1">
    <w:name w:val="5071893851z1"/>
  </w:style>
  <w:style w:type="character" w:customStyle="1" w:styleId="5071893851z2">
    <w:name w:val="5071893851z2"/>
  </w:style>
  <w:style w:type="character" w:customStyle="1" w:styleId="5071893851z3">
    <w:name w:val="5071893851z3"/>
  </w:style>
  <w:style w:type="character" w:customStyle="1" w:styleId="5071893851z4">
    <w:name w:val="5071893851z4"/>
  </w:style>
  <w:style w:type="character" w:customStyle="1" w:styleId="5071893851z5">
    <w:name w:val="5071893851z5"/>
  </w:style>
  <w:style w:type="character" w:customStyle="1" w:styleId="5071893851z6">
    <w:name w:val="5071893851z6"/>
  </w:style>
  <w:style w:type="character" w:customStyle="1" w:styleId="5071893851z7">
    <w:name w:val="5071893851z7"/>
  </w:style>
  <w:style w:type="character" w:customStyle="1" w:styleId="5071893851z8">
    <w:name w:val="5071893851z8"/>
  </w:style>
  <w:style w:type="character" w:customStyle="1" w:styleId="IntestazioneCarattere1">
    <w:name w:val="Intestazione Carattere1"/>
    <w:rPr>
      <w:rFonts w:eastAsia="Lucida Sans Unicode" w:cs="Mangal"/>
      <w:kern w:val="2"/>
      <w:sz w:val="24"/>
      <w:szCs w:val="24"/>
      <w:lang w:eastAsia="zh-CN" w:bidi="hi-IN"/>
    </w:rPr>
  </w:style>
  <w:style w:type="character" w:customStyle="1" w:styleId="PidipaginaCarattere1">
    <w:name w:val="Piè di pagina Carattere1"/>
    <w:rPr>
      <w:rFonts w:eastAsia="Lucida Sans Unicode" w:cs="Mangal"/>
      <w:kern w:val="2"/>
      <w:sz w:val="24"/>
      <w:szCs w:val="24"/>
      <w:lang w:eastAsia="zh-CN" w:bidi="hi-IN"/>
    </w:rPr>
  </w:style>
  <w:style w:type="paragraph" w:customStyle="1" w:styleId="Titolo50">
    <w:name w:val="Titolo5"/>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20" w:line="240" w:lineRule="auto"/>
    </w:pPr>
    <w:rPr>
      <w:rFonts w:ascii="Times New Roman" w:hAnsi="Times New Roman" w:cs="Times New Roman"/>
      <w:sz w:val="24"/>
      <w:szCs w:val="24"/>
    </w:rPr>
  </w:style>
  <w:style w:type="paragraph" w:styleId="Elenco">
    <w:name w:val="List"/>
    <w:basedOn w:val="Corpotesto"/>
    <w:rPr>
      <w:rFonts w:cs="Mangal"/>
      <w:kern w:val="2"/>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spacing w:after="0" w:line="240" w:lineRule="auto"/>
    </w:pPr>
    <w:rPr>
      <w:rFonts w:ascii="Times New Roman" w:hAnsi="Times New Roman" w:cs="Mangal"/>
      <w:kern w:val="2"/>
      <w:sz w:val="24"/>
      <w:szCs w:val="24"/>
    </w:rPr>
  </w:style>
  <w:style w:type="paragraph" w:customStyle="1" w:styleId="Titolo40">
    <w:name w:val="Titolo4"/>
    <w:basedOn w:val="Normale"/>
    <w:next w:val="Corpotesto"/>
    <w:pPr>
      <w:spacing w:before="240" w:after="60"/>
      <w:jc w:val="center"/>
    </w:pPr>
    <w:rPr>
      <w:rFonts w:ascii="Calibri Light" w:hAnsi="Calibri Light" w:cs="Times New Roman"/>
      <w:b/>
      <w:bCs/>
      <w:kern w:val="2"/>
      <w:sz w:val="32"/>
      <w:szCs w:val="32"/>
    </w:rPr>
  </w:style>
  <w:style w:type="paragraph" w:styleId="Sottotitolo">
    <w:name w:val="Subtitle"/>
    <w:basedOn w:val="Corpotesto"/>
    <w:next w:val="Corpotesto"/>
    <w:uiPriority w:val="11"/>
    <w:qFormat/>
    <w:pPr>
      <w:spacing w:after="200" w:line="360" w:lineRule="auto"/>
      <w:jc w:val="left"/>
    </w:pPr>
    <w:rPr>
      <w:rFonts w:ascii="Tahoma" w:hAnsi="Tahoma" w:cs="Tahoma"/>
      <w:b/>
      <w:bCs/>
      <w:sz w:val="22"/>
      <w:szCs w:val="22"/>
      <w:u w:val="single"/>
    </w:rPr>
  </w:style>
  <w:style w:type="paragraph" w:customStyle="1" w:styleId="Intestazione1">
    <w:name w:val="Intestazione1"/>
    <w:basedOn w:val="Normale"/>
    <w:next w:val="Corpotesto"/>
    <w:pPr>
      <w:keepNext/>
      <w:spacing w:before="240" w:after="120" w:line="240" w:lineRule="auto"/>
    </w:pPr>
    <w:rPr>
      <w:rFonts w:ascii="Arial" w:eastAsia="Lucida Sans Unicode" w:hAnsi="Arial" w:cs="Mangal"/>
      <w:kern w:val="2"/>
      <w:sz w:val="28"/>
      <w:szCs w:val="28"/>
    </w:rPr>
  </w:style>
  <w:style w:type="paragraph" w:customStyle="1" w:styleId="Titolo20">
    <w:name w:val="Titolo2"/>
    <w:basedOn w:val="Normale"/>
    <w:next w:val="Corpotesto"/>
    <w:pPr>
      <w:keepNext/>
      <w:spacing w:before="240" w:after="120"/>
    </w:pPr>
    <w:rPr>
      <w:rFonts w:ascii="Liberation Sans" w:eastAsia="Microsoft YaHei" w:hAnsi="Liberation Sans" w:cs="Arial"/>
      <w:sz w:val="28"/>
      <w:szCs w:val="28"/>
    </w:rPr>
  </w:style>
  <w:style w:type="paragraph" w:customStyle="1" w:styleId="Titolo10">
    <w:name w:val="Titolo1"/>
    <w:basedOn w:val="Normale"/>
    <w:next w:val="Corpotesto"/>
    <w:pPr>
      <w:spacing w:after="300" w:line="240" w:lineRule="auto"/>
    </w:pPr>
    <w:rPr>
      <w:rFonts w:cs="Tahoma"/>
      <w:b/>
      <w:color w:val="343434"/>
      <w:spacing w:val="5"/>
      <w:kern w:val="2"/>
      <w:sz w:val="44"/>
      <w:szCs w:val="5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next w:val="Corpotesto"/>
    <w:pPr>
      <w:keepNext/>
      <w:spacing w:before="240" w:after="120"/>
    </w:pPr>
    <w:rPr>
      <w:rFonts w:ascii="Arial" w:eastAsia="Microsoft YaHei" w:hAnsi="Arial" w:cs="Arial"/>
      <w:sz w:val="28"/>
      <w:szCs w:val="28"/>
    </w:rPr>
  </w:style>
  <w:style w:type="paragraph" w:customStyle="1" w:styleId="Intestazione13">
    <w:name w:val="Intestazione13"/>
    <w:basedOn w:val="Normale"/>
    <w:next w:val="Corpotesto"/>
    <w:pPr>
      <w:keepNext/>
      <w:spacing w:before="240" w:after="120"/>
    </w:pPr>
    <w:rPr>
      <w:rFonts w:ascii="Arial" w:eastAsia="Microsoft YaHei" w:hAnsi="Arial" w:cs="Arial"/>
      <w:sz w:val="28"/>
      <w:szCs w:val="28"/>
    </w:rPr>
  </w:style>
  <w:style w:type="paragraph" w:customStyle="1" w:styleId="Didascalia13">
    <w:name w:val="Didascalia13"/>
    <w:basedOn w:val="Normale"/>
    <w:pPr>
      <w:suppressLineNumbers/>
      <w:spacing w:before="120" w:after="120"/>
    </w:pPr>
    <w:rPr>
      <w:rFonts w:cs="Arial"/>
      <w:i/>
      <w:iCs/>
      <w:sz w:val="24"/>
      <w:szCs w:val="24"/>
    </w:rPr>
  </w:style>
  <w:style w:type="paragraph" w:customStyle="1" w:styleId="Intestazione12">
    <w:name w:val="Intestazione12"/>
    <w:basedOn w:val="Normale"/>
    <w:next w:val="Corpotesto"/>
    <w:pPr>
      <w:keepNext/>
      <w:spacing w:before="240" w:after="120"/>
    </w:pPr>
    <w:rPr>
      <w:rFonts w:ascii="Arial" w:eastAsia="Microsoft YaHei" w:hAnsi="Arial" w:cs="Arial"/>
      <w:sz w:val="28"/>
      <w:szCs w:val="28"/>
    </w:rPr>
  </w:style>
  <w:style w:type="paragraph" w:customStyle="1" w:styleId="Didascalia12">
    <w:name w:val="Didascalia12"/>
    <w:basedOn w:val="Normale"/>
    <w:pPr>
      <w:suppressLineNumbers/>
      <w:spacing w:before="120" w:after="120"/>
    </w:pPr>
    <w:rPr>
      <w:rFonts w:cs="Arial"/>
      <w:i/>
      <w:iCs/>
      <w:sz w:val="24"/>
      <w:szCs w:val="24"/>
    </w:rPr>
  </w:style>
  <w:style w:type="paragraph" w:customStyle="1" w:styleId="Intestazione11">
    <w:name w:val="Intestazione11"/>
    <w:basedOn w:val="Normale"/>
    <w:next w:val="Corpotesto"/>
    <w:pPr>
      <w:keepNext/>
      <w:spacing w:before="240" w:after="120"/>
    </w:pPr>
    <w:rPr>
      <w:rFonts w:ascii="Arial" w:eastAsia="Microsoft YaHei" w:hAnsi="Arial" w:cs="Arial"/>
      <w:sz w:val="28"/>
      <w:szCs w:val="28"/>
    </w:rPr>
  </w:style>
  <w:style w:type="paragraph" w:customStyle="1" w:styleId="Didascalia11">
    <w:name w:val="Didascalia11"/>
    <w:basedOn w:val="Normale"/>
    <w:pPr>
      <w:suppressLineNumbers/>
      <w:spacing w:before="120" w:after="120"/>
    </w:pPr>
    <w:rPr>
      <w:rFonts w:cs="Arial"/>
      <w:i/>
      <w:iCs/>
      <w:sz w:val="24"/>
      <w:szCs w:val="24"/>
    </w:rPr>
  </w:style>
  <w:style w:type="paragraph" w:customStyle="1" w:styleId="Intestazione10">
    <w:name w:val="Intestazione10"/>
    <w:basedOn w:val="Normale"/>
    <w:next w:val="Corpotesto"/>
    <w:pPr>
      <w:keepNext/>
      <w:spacing w:before="240" w:after="120"/>
    </w:pPr>
    <w:rPr>
      <w:rFonts w:ascii="Arial" w:eastAsia="Microsoft YaHei" w:hAnsi="Arial" w:cs="Arial"/>
      <w:sz w:val="28"/>
      <w:szCs w:val="28"/>
    </w:rPr>
  </w:style>
  <w:style w:type="paragraph" w:customStyle="1" w:styleId="Didascalia10">
    <w:name w:val="Didascalia10"/>
    <w:basedOn w:val="Normale"/>
    <w:pPr>
      <w:suppressLineNumbers/>
      <w:spacing w:before="120" w:after="120"/>
    </w:pPr>
    <w:rPr>
      <w:rFonts w:cs="Arial"/>
      <w:i/>
      <w:iCs/>
      <w:sz w:val="24"/>
      <w:szCs w:val="24"/>
    </w:rPr>
  </w:style>
  <w:style w:type="paragraph" w:customStyle="1" w:styleId="Intestazione9">
    <w:name w:val="Intestazione9"/>
    <w:basedOn w:val="Normale"/>
    <w:next w:val="Corpotesto"/>
    <w:pPr>
      <w:keepNext/>
      <w:spacing w:before="240" w:after="120"/>
    </w:pPr>
    <w:rPr>
      <w:rFonts w:ascii="Arial" w:eastAsia="Microsoft YaHei" w:hAnsi="Arial" w:cs="Arial"/>
      <w:sz w:val="28"/>
      <w:szCs w:val="28"/>
    </w:rPr>
  </w:style>
  <w:style w:type="paragraph" w:customStyle="1" w:styleId="Didascalia9">
    <w:name w:val="Didascalia9"/>
    <w:basedOn w:val="Normale"/>
    <w:pPr>
      <w:suppressLineNumbers/>
      <w:spacing w:before="120" w:after="120"/>
    </w:pPr>
    <w:rPr>
      <w:i/>
      <w:iCs/>
    </w:rPr>
  </w:style>
  <w:style w:type="paragraph" w:customStyle="1" w:styleId="Standard">
    <w:name w:val="Standard"/>
    <w:pPr>
      <w:widowControl w:val="0"/>
      <w:suppressAutoHyphens/>
      <w:textAlignment w:val="baseline"/>
    </w:pPr>
    <w:rPr>
      <w:rFonts w:eastAsia="SimSun" w:cs="Mangal"/>
      <w:color w:val="00000A"/>
      <w:kern w:val="2"/>
      <w:sz w:val="24"/>
      <w:szCs w:val="24"/>
      <w:lang w:eastAsia="zh-CN" w:bidi="hi-IN"/>
    </w:rPr>
  </w:style>
  <w:style w:type="paragraph" w:customStyle="1" w:styleId="Intestazione7">
    <w:name w:val="Intestazione7"/>
    <w:basedOn w:val="Normale"/>
    <w:next w:val="Corpotesto"/>
    <w:pPr>
      <w:keepNext/>
      <w:spacing w:before="240" w:after="120"/>
    </w:pPr>
    <w:rPr>
      <w:rFonts w:ascii="Arial" w:eastAsia="Microsoft YaHei" w:hAnsi="Arial" w:cs="Arial"/>
      <w:sz w:val="28"/>
      <w:szCs w:val="28"/>
    </w:rPr>
  </w:style>
  <w:style w:type="paragraph" w:customStyle="1" w:styleId="Didascalia7">
    <w:name w:val="Didascalia7"/>
    <w:basedOn w:val="Normale"/>
    <w:pPr>
      <w:suppressLineNumbers/>
      <w:spacing w:before="120" w:after="120"/>
    </w:pPr>
    <w:rPr>
      <w:rFonts w:cs="Arial"/>
      <w:i/>
      <w:iCs/>
      <w:sz w:val="24"/>
      <w:szCs w:val="24"/>
    </w:rPr>
  </w:style>
  <w:style w:type="paragraph" w:customStyle="1" w:styleId="Intestazione6">
    <w:name w:val="Intestazione6"/>
    <w:basedOn w:val="Normale"/>
    <w:next w:val="Corpotesto"/>
    <w:pPr>
      <w:keepNext/>
      <w:spacing w:before="240" w:after="120"/>
    </w:pPr>
    <w:rPr>
      <w:rFonts w:ascii="Arial" w:eastAsia="Microsoft YaHei" w:hAnsi="Arial" w:cs="Arial"/>
      <w:sz w:val="28"/>
      <w:szCs w:val="28"/>
    </w:rPr>
  </w:style>
  <w:style w:type="paragraph" w:customStyle="1" w:styleId="Didascalia6">
    <w:name w:val="Didascalia6"/>
    <w:basedOn w:val="Normale"/>
    <w:pPr>
      <w:suppressLineNumbers/>
      <w:spacing w:before="120" w:after="120"/>
    </w:pPr>
    <w:rPr>
      <w:rFonts w:cs="Arial"/>
      <w:i/>
      <w:iCs/>
      <w:sz w:val="24"/>
      <w:szCs w:val="24"/>
    </w:rPr>
  </w:style>
  <w:style w:type="paragraph" w:customStyle="1" w:styleId="Intestazione5">
    <w:name w:val="Intestazione5"/>
    <w:basedOn w:val="Normale"/>
    <w:next w:val="Corpotesto"/>
    <w:pPr>
      <w:keepNext/>
      <w:spacing w:before="240" w:after="120"/>
    </w:pPr>
    <w:rPr>
      <w:rFonts w:ascii="Arial" w:eastAsia="Microsoft YaHei" w:hAnsi="Arial" w:cs="Arial"/>
      <w:sz w:val="28"/>
      <w:szCs w:val="28"/>
    </w:rPr>
  </w:style>
  <w:style w:type="paragraph" w:customStyle="1" w:styleId="Didascalia5">
    <w:name w:val="Didascalia5"/>
    <w:basedOn w:val="Normale"/>
    <w:pPr>
      <w:suppressLineNumbers/>
      <w:spacing w:before="120" w:after="120"/>
    </w:pPr>
    <w:rPr>
      <w:rFonts w:cs="Arial"/>
      <w:i/>
      <w:iCs/>
      <w:sz w:val="24"/>
      <w:szCs w:val="24"/>
    </w:rPr>
  </w:style>
  <w:style w:type="paragraph" w:customStyle="1" w:styleId="Intestazione4">
    <w:name w:val="Intestazione4"/>
    <w:basedOn w:val="Normale"/>
    <w:next w:val="Corpotesto"/>
    <w:pPr>
      <w:keepNext/>
      <w:spacing w:before="240" w:after="120"/>
    </w:pPr>
    <w:rPr>
      <w:rFonts w:ascii="Arial" w:eastAsia="Microsoft YaHei" w:hAnsi="Arial" w:cs="Arial"/>
      <w:sz w:val="28"/>
      <w:szCs w:val="28"/>
    </w:rPr>
  </w:style>
  <w:style w:type="paragraph" w:customStyle="1" w:styleId="Didascalia4">
    <w:name w:val="Didascalia4"/>
    <w:basedOn w:val="Normale"/>
    <w:next w:val="Normale"/>
    <w:pPr>
      <w:suppressAutoHyphens w:val="0"/>
      <w:spacing w:after="0"/>
    </w:pPr>
    <w:rPr>
      <w:rFonts w:ascii="Times New Roman" w:hAnsi="Times New Roman" w:cs="Times New Roman"/>
      <w:b/>
      <w:i/>
      <w:color w:val="FF0000"/>
      <w:sz w:val="24"/>
      <w:szCs w:val="24"/>
    </w:rPr>
  </w:style>
  <w:style w:type="paragraph" w:customStyle="1" w:styleId="Testocommento2">
    <w:name w:val="Testo commento2"/>
    <w:basedOn w:val="Normale"/>
    <w:pPr>
      <w:suppressAutoHyphens w:val="0"/>
      <w:spacing w:after="0" w:line="240" w:lineRule="auto"/>
    </w:pPr>
    <w:rPr>
      <w:rFonts w:ascii="Times New Roman" w:hAnsi="Times New Roman" w:cs="Times New Roman"/>
      <w:szCs w:val="20"/>
    </w:rPr>
  </w:style>
  <w:style w:type="paragraph" w:customStyle="1" w:styleId="Intestazione3">
    <w:name w:val="Intestazione3"/>
    <w:basedOn w:val="Normale"/>
    <w:next w:val="Corpotesto"/>
    <w:pPr>
      <w:keepNext/>
      <w:spacing w:before="240" w:after="120"/>
    </w:pPr>
    <w:rPr>
      <w:rFonts w:ascii="Arial" w:eastAsia="Microsoft YaHei" w:hAnsi="Arial" w:cs="Arial"/>
      <w:sz w:val="28"/>
      <w:szCs w:val="28"/>
    </w:rPr>
  </w:style>
  <w:style w:type="paragraph" w:customStyle="1" w:styleId="Didascalia3">
    <w:name w:val="Didascalia3"/>
    <w:basedOn w:val="Normale"/>
    <w:next w:val="Normale"/>
    <w:pPr>
      <w:spacing w:line="240" w:lineRule="auto"/>
    </w:pPr>
    <w:rPr>
      <w:b/>
      <w:bCs/>
      <w:color w:val="2DA2BF"/>
      <w:sz w:val="18"/>
      <w:szCs w:val="18"/>
    </w:rPr>
  </w:style>
  <w:style w:type="paragraph" w:customStyle="1" w:styleId="Paragrafoelenco1">
    <w:name w:val="Paragrafo elenco1"/>
    <w:basedOn w:val="Normale"/>
    <w:pPr>
      <w:ind w:left="720"/>
    </w:pPr>
  </w:style>
  <w:style w:type="paragraph" w:styleId="Testonotaapidipagina">
    <w:name w:val="footnote text"/>
    <w:basedOn w:val="Normale"/>
    <w:pPr>
      <w:spacing w:line="240" w:lineRule="auto"/>
    </w:pPr>
    <w:rPr>
      <w:szCs w:val="20"/>
    </w:rPr>
  </w:style>
  <w:style w:type="paragraph" w:styleId="Testofumetto">
    <w:name w:val="Balloon Text"/>
    <w:basedOn w:val="Normale"/>
    <w:pPr>
      <w:spacing w:line="240" w:lineRule="auto"/>
    </w:pPr>
    <w:rPr>
      <w:rFonts w:cs="Tahoma"/>
      <w:sz w:val="16"/>
      <w:szCs w:val="16"/>
    </w:rPr>
  </w:style>
  <w:style w:type="paragraph" w:customStyle="1" w:styleId="Rigadintestazione">
    <w:name w:val="Riga d'intestazione"/>
    <w:basedOn w:val="Normale"/>
    <w:pPr>
      <w:spacing w:line="240" w:lineRule="auto"/>
    </w:pPr>
  </w:style>
  <w:style w:type="paragraph" w:styleId="Pidipagina">
    <w:name w:val="footer"/>
    <w:basedOn w:val="Normale"/>
    <w:uiPriority w:val="99"/>
    <w:pPr>
      <w:spacing w:line="240" w:lineRule="auto"/>
    </w:pPr>
  </w:style>
  <w:style w:type="paragraph" w:customStyle="1" w:styleId="Indicedellefigure1">
    <w:name w:val="Indice delle figure1"/>
    <w:basedOn w:val="Normale"/>
    <w:next w:val="Normale"/>
  </w:style>
  <w:style w:type="paragraph" w:customStyle="1" w:styleId="Stile1">
    <w:name w:val="Stile1"/>
    <w:basedOn w:val="Titolo10"/>
    <w:rPr>
      <w:b w:val="0"/>
      <w:sz w:val="26"/>
    </w:rPr>
  </w:style>
  <w:style w:type="paragraph" w:styleId="Sommario1">
    <w:name w:val="toc 1"/>
    <w:basedOn w:val="Normale"/>
    <w:next w:val="Normale"/>
    <w:uiPriority w:val="39"/>
    <w:pPr>
      <w:spacing w:after="0"/>
    </w:pPr>
    <w:rPr>
      <w:rFonts w:cs="Tahoma"/>
      <w:b/>
      <w:szCs w:val="20"/>
    </w:rPr>
  </w:style>
  <w:style w:type="paragraph" w:styleId="Nessunaspaziatura">
    <w:name w:val="No Spacing"/>
    <w:qFormat/>
    <w:pPr>
      <w:suppressAutoHyphens/>
    </w:pPr>
    <w:rPr>
      <w:rFonts w:ascii="Calibri" w:hAnsi="Calibri" w:cs="Calibri"/>
      <w:sz w:val="22"/>
      <w:szCs w:val="22"/>
      <w:lang w:eastAsia="zh-CN"/>
    </w:rPr>
  </w:style>
  <w:style w:type="paragraph" w:styleId="Paragrafoelenco">
    <w:name w:val="List Paragraph"/>
    <w:basedOn w:val="Normale"/>
    <w:uiPriority w:val="34"/>
    <w:qFormat/>
    <w:pPr>
      <w:ind w:left="720"/>
    </w:pPr>
  </w:style>
  <w:style w:type="paragraph" w:styleId="Citazione">
    <w:name w:val="Quote"/>
    <w:basedOn w:val="Normale"/>
    <w:next w:val="Normale"/>
    <w:qFormat/>
    <w:rPr>
      <w:i/>
      <w:iCs/>
      <w:color w:val="000000"/>
    </w:rPr>
  </w:style>
  <w:style w:type="paragraph" w:styleId="Citazioneintensa">
    <w:name w:val="Intense Quote"/>
    <w:basedOn w:val="Normale"/>
    <w:next w:val="Normale"/>
    <w:qFormat/>
    <w:pPr>
      <w:spacing w:before="200" w:after="280"/>
      <w:ind w:left="936" w:right="936"/>
    </w:pPr>
    <w:rPr>
      <w:b/>
      <w:bCs/>
      <w:i/>
      <w:iCs/>
      <w:color w:val="2DA2BF"/>
    </w:rPr>
  </w:style>
  <w:style w:type="paragraph" w:styleId="Titolosommario">
    <w:name w:val="TOC Heading"/>
    <w:basedOn w:val="Titolo1"/>
    <w:next w:val="Normale"/>
    <w:uiPriority w:val="39"/>
    <w:qFormat/>
    <w:pPr>
      <w:numPr>
        <w:numId w:val="0"/>
      </w:numPr>
    </w:pPr>
    <w:rPr>
      <w:rFonts w:ascii="Cambria" w:hAnsi="Cambria" w:cs="Cambria"/>
      <w:color w:val="21798E"/>
    </w:rPr>
  </w:style>
  <w:style w:type="paragraph" w:styleId="Sommario2">
    <w:name w:val="toc 2"/>
    <w:basedOn w:val="Normale"/>
    <w:next w:val="Normale"/>
    <w:uiPriority w:val="39"/>
    <w:pPr>
      <w:ind w:left="220"/>
    </w:pPr>
  </w:style>
  <w:style w:type="paragraph" w:styleId="Sommario3">
    <w:name w:val="toc 3"/>
    <w:basedOn w:val="Normale"/>
    <w:next w:val="Normale"/>
    <w:uiPriority w:val="39"/>
    <w:pPr>
      <w:spacing w:after="0"/>
      <w:ind w:left="440"/>
    </w:pPr>
    <w:rPr>
      <w:rFonts w:cs="Tahoma"/>
      <w:i/>
      <w:szCs w:val="20"/>
    </w:rPr>
  </w:style>
  <w:style w:type="paragraph" w:customStyle="1" w:styleId="Default">
    <w:name w:val="Default"/>
    <w:basedOn w:val="Normale"/>
    <w:pPr>
      <w:widowControl w:val="0"/>
      <w:autoSpaceDE w:val="0"/>
    </w:pPr>
    <w:rPr>
      <w:rFonts w:ascii="Times New Roman" w:eastAsia="MS Mincho" w:hAnsi="Times New Roman" w:cs="Times New Roman"/>
      <w:color w:val="000000"/>
      <w:sz w:val="24"/>
      <w:szCs w:val="24"/>
    </w:rPr>
  </w:style>
  <w:style w:type="paragraph" w:styleId="NormaleWeb">
    <w:name w:val="Normal (Web)"/>
    <w:basedOn w:val="Normale"/>
    <w:pPr>
      <w:spacing w:before="280" w:after="280" w:line="240" w:lineRule="auto"/>
    </w:pPr>
    <w:rPr>
      <w:rFonts w:ascii="Times" w:eastAsia="MS Mincho" w:hAnsi="Times" w:cs="Times"/>
      <w:szCs w:val="20"/>
    </w:rPr>
  </w:style>
  <w:style w:type="paragraph" w:customStyle="1" w:styleId="NUOVOSOTTOPARAGRAFO">
    <w:name w:val="NUOVOSOTTOPARAGRAFO"/>
    <w:basedOn w:val="Normale"/>
    <w:next w:val="Normale"/>
    <w:rPr>
      <w:rFonts w:cs="Tahoma"/>
      <w:b/>
      <w:i/>
    </w:rPr>
  </w:style>
  <w:style w:type="paragraph" w:styleId="Sommario4">
    <w:name w:val="toc 4"/>
    <w:basedOn w:val="Normale"/>
    <w:next w:val="Normale"/>
    <w:uiPriority w:val="39"/>
    <w:pPr>
      <w:spacing w:after="100"/>
      <w:ind w:left="660"/>
    </w:pPr>
  </w:style>
  <w:style w:type="paragraph" w:styleId="Sommario5">
    <w:name w:val="toc 5"/>
    <w:basedOn w:val="Normale"/>
    <w:next w:val="Normale"/>
    <w:uiPriority w:val="39"/>
    <w:pPr>
      <w:spacing w:after="100"/>
      <w:ind w:left="880"/>
    </w:pPr>
  </w:style>
  <w:style w:type="paragraph" w:styleId="Sommario6">
    <w:name w:val="toc 6"/>
    <w:basedOn w:val="Normale"/>
    <w:next w:val="Normale"/>
    <w:uiPriority w:val="39"/>
    <w:pPr>
      <w:spacing w:after="100"/>
      <w:ind w:left="1100"/>
    </w:pPr>
  </w:style>
  <w:style w:type="paragraph" w:styleId="Sommario7">
    <w:name w:val="toc 7"/>
    <w:basedOn w:val="Normale"/>
    <w:next w:val="Normale"/>
    <w:uiPriority w:val="39"/>
    <w:pPr>
      <w:spacing w:after="100"/>
      <w:ind w:left="1320"/>
    </w:pPr>
  </w:style>
  <w:style w:type="paragraph" w:styleId="Sommario8">
    <w:name w:val="toc 8"/>
    <w:basedOn w:val="Normale"/>
    <w:next w:val="Normale"/>
    <w:uiPriority w:val="39"/>
    <w:pPr>
      <w:spacing w:after="100"/>
      <w:ind w:left="1540"/>
    </w:pPr>
  </w:style>
  <w:style w:type="paragraph" w:styleId="Sommario9">
    <w:name w:val="toc 9"/>
    <w:basedOn w:val="Normale"/>
    <w:next w:val="Normale"/>
    <w:uiPriority w:val="39"/>
    <w:pPr>
      <w:spacing w:after="100"/>
      <w:ind w:left="1760"/>
    </w:pPr>
  </w:style>
  <w:style w:type="paragraph" w:customStyle="1" w:styleId="tdc">
    <w:name w:val="tdc"/>
    <w:basedOn w:val="Normale"/>
    <w:pPr>
      <w:spacing w:before="280" w:after="280" w:line="240" w:lineRule="auto"/>
    </w:pPr>
    <w:rPr>
      <w:rFonts w:ascii="Times" w:hAnsi="Times" w:cs="Times"/>
      <w:szCs w:val="20"/>
    </w:rPr>
  </w:style>
  <w:style w:type="paragraph" w:styleId="Testonotadichiusura">
    <w:name w:val="endnote text"/>
    <w:basedOn w:val="Normale"/>
    <w:pPr>
      <w:spacing w:after="0" w:line="240" w:lineRule="auto"/>
    </w:pPr>
    <w:rPr>
      <w:rFonts w:ascii="Times New Roman" w:hAnsi="Times New Roman" w:cs="Times New Roman"/>
      <w:szCs w:val="20"/>
    </w:rPr>
  </w:style>
  <w:style w:type="paragraph" w:customStyle="1" w:styleId="actions">
    <w:name w:val="actions"/>
    <w:basedOn w:val="Normale"/>
    <w:pPr>
      <w:spacing w:before="280" w:after="280" w:line="240" w:lineRule="auto"/>
    </w:pPr>
    <w:rPr>
      <w:rFonts w:ascii="Times" w:hAnsi="Times" w:cs="Times"/>
      <w:szCs w:val="20"/>
    </w:rPr>
  </w:style>
  <w:style w:type="paragraph" w:customStyle="1" w:styleId="no-margin">
    <w:name w:val="no-margin"/>
    <w:basedOn w:val="Normale"/>
    <w:pPr>
      <w:spacing w:before="280" w:after="280" w:line="240" w:lineRule="auto"/>
    </w:pPr>
    <w:rPr>
      <w:rFonts w:ascii="Times" w:hAnsi="Times" w:cs="Times"/>
      <w:szCs w:val="20"/>
    </w:rPr>
  </w:style>
  <w:style w:type="paragraph" w:customStyle="1" w:styleId="Testopreformattato">
    <w:name w:val="Testo preformattato"/>
    <w:basedOn w:val="Normale"/>
    <w:next w:val="Normale"/>
    <w:pPr>
      <w:spacing w:after="0" w:line="240" w:lineRule="auto"/>
    </w:pPr>
    <w:rPr>
      <w:rFonts w:ascii="Century Gothic" w:eastAsia="Century Gothic" w:hAnsi="Century Gothic" w:cs="Century Gothic"/>
      <w:szCs w:val="24"/>
    </w:rPr>
  </w:style>
  <w:style w:type="paragraph" w:customStyle="1" w:styleId="Didascalia1">
    <w:name w:val="Didascalia1"/>
    <w:basedOn w:val="Normale"/>
    <w:pPr>
      <w:suppressLineNumbers/>
      <w:spacing w:before="120" w:after="120" w:line="240" w:lineRule="auto"/>
    </w:pPr>
    <w:rPr>
      <w:rFonts w:ascii="Times New Roman" w:hAnsi="Times New Roman" w:cs="Mangal"/>
      <w:i/>
      <w:iCs/>
      <w:kern w:val="2"/>
      <w:sz w:val="24"/>
      <w:szCs w:val="24"/>
    </w:rPr>
  </w:style>
  <w:style w:type="paragraph" w:customStyle="1" w:styleId="Contenutotabella">
    <w:name w:val="Contenuto tabella"/>
    <w:basedOn w:val="Normale"/>
    <w:pPr>
      <w:suppressLineNumbers/>
      <w:spacing w:after="0" w:line="240" w:lineRule="auto"/>
    </w:pPr>
    <w:rPr>
      <w:rFonts w:ascii="Times New Roman" w:hAnsi="Times New Roman" w:cs="Times New Roman"/>
      <w:kern w:val="2"/>
      <w:sz w:val="24"/>
      <w:szCs w:val="24"/>
    </w:rPr>
  </w:style>
  <w:style w:type="paragraph" w:customStyle="1" w:styleId="Intestazionetabella">
    <w:name w:val="Intestazione tabella"/>
    <w:basedOn w:val="Contenutotabella"/>
    <w:pPr>
      <w:jc w:val="center"/>
    </w:pPr>
    <w:rPr>
      <w:b/>
      <w:bCs/>
    </w:rPr>
  </w:style>
  <w:style w:type="paragraph" w:customStyle="1" w:styleId="StileComma">
    <w:name w:val="StileComma"/>
    <w:basedOn w:val="Normale"/>
    <w:pPr>
      <w:spacing w:after="0" w:line="200" w:lineRule="atLeast"/>
    </w:pPr>
    <w:rPr>
      <w:rFonts w:ascii="Times New Roman" w:hAnsi="Times New Roman" w:cs="Times New Roman"/>
      <w:kern w:val="2"/>
      <w:szCs w:val="24"/>
    </w:rPr>
  </w:style>
  <w:style w:type="paragraph" w:customStyle="1" w:styleId="AttiComma">
    <w:name w:val="AttiComma"/>
    <w:basedOn w:val="StileComma"/>
    <w:pPr>
      <w:ind w:left="1004" w:hanging="284"/>
    </w:pPr>
  </w:style>
  <w:style w:type="paragraph" w:customStyle="1" w:styleId="StileArt">
    <w:name w:val="StileArt"/>
    <w:basedOn w:val="Normale"/>
    <w:pPr>
      <w:keepNext/>
      <w:spacing w:before="240" w:after="0" w:line="240" w:lineRule="auto"/>
    </w:pPr>
    <w:rPr>
      <w:rFonts w:ascii="Times New Roman" w:hAnsi="Times New Roman" w:cs="Times New Roman"/>
      <w:b/>
      <w:bCs/>
      <w:kern w:val="2"/>
      <w:szCs w:val="24"/>
    </w:rPr>
  </w:style>
  <w:style w:type="paragraph" w:customStyle="1" w:styleId="AttiArt">
    <w:name w:val="AttiArt"/>
    <w:basedOn w:val="StileArt"/>
    <w:pPr>
      <w:spacing w:before="480"/>
      <w:ind w:left="748" w:right="51" w:hanging="567"/>
    </w:pPr>
  </w:style>
  <w:style w:type="paragraph" w:customStyle="1" w:styleId="AttiSottocomma">
    <w:name w:val="AttiSottocomma"/>
    <w:basedOn w:val="Normale"/>
    <w:pPr>
      <w:spacing w:after="0" w:line="200" w:lineRule="atLeast"/>
      <w:ind w:left="1361" w:hanging="357"/>
    </w:pPr>
    <w:rPr>
      <w:rFonts w:ascii="Times New Roman" w:hAnsi="Times New Roman" w:cs="Times New Roman"/>
      <w:kern w:val="2"/>
      <w:szCs w:val="24"/>
    </w:rPr>
  </w:style>
  <w:style w:type="paragraph" w:customStyle="1" w:styleId="StilePunto">
    <w:name w:val="StilePunto"/>
    <w:basedOn w:val="Normale"/>
    <w:pPr>
      <w:spacing w:after="0" w:line="200" w:lineRule="atLeast"/>
    </w:pPr>
    <w:rPr>
      <w:rFonts w:ascii="Times New Roman" w:hAnsi="Times New Roman" w:cs="Times New Roman"/>
      <w:kern w:val="2"/>
      <w:szCs w:val="24"/>
    </w:rPr>
  </w:style>
  <w:style w:type="paragraph" w:customStyle="1" w:styleId="AttiPunto">
    <w:name w:val="AttiPunto"/>
    <w:basedOn w:val="StilePunto"/>
    <w:pPr>
      <w:ind w:left="1644" w:hanging="283"/>
    </w:pPr>
  </w:style>
  <w:style w:type="paragraph" w:customStyle="1" w:styleId="StileParte">
    <w:name w:val="StileParte"/>
    <w:basedOn w:val="Normale"/>
    <w:pPr>
      <w:spacing w:before="480" w:after="0" w:line="240" w:lineRule="auto"/>
      <w:jc w:val="center"/>
    </w:pPr>
    <w:rPr>
      <w:rFonts w:ascii="Times New Roman" w:hAnsi="Times New Roman" w:cs="Times New Roman"/>
      <w:b/>
      <w:bCs/>
      <w:kern w:val="2"/>
      <w:szCs w:val="24"/>
      <w:u w:val="single"/>
    </w:rPr>
  </w:style>
  <w:style w:type="paragraph" w:customStyle="1" w:styleId="AttiParte">
    <w:name w:val="AttiParte"/>
    <w:basedOn w:val="StileParte"/>
    <w:pPr>
      <w:keepNext/>
      <w:spacing w:before="600"/>
    </w:pPr>
  </w:style>
  <w:style w:type="paragraph" w:customStyle="1" w:styleId="Titolo11">
    <w:name w:val="Titolo 11"/>
    <w:basedOn w:val="Default"/>
    <w:next w:val="Default"/>
    <w:pPr>
      <w:spacing w:after="0" w:line="240" w:lineRule="auto"/>
    </w:pPr>
    <w:rPr>
      <w:rFonts w:eastAsia="SimSun" w:cs="Mangal"/>
      <w:kern w:val="2"/>
      <w:lang w:bidi="hi-IN"/>
    </w:rPr>
  </w:style>
  <w:style w:type="paragraph" w:customStyle="1" w:styleId="Heading">
    <w:name w:val="Heading"/>
    <w:basedOn w:val="Normale"/>
    <w:next w:val="Corpotesto"/>
    <w:pPr>
      <w:keepNext/>
      <w:spacing w:before="240" w:after="120" w:line="240" w:lineRule="auto"/>
    </w:pPr>
    <w:rPr>
      <w:rFonts w:ascii="Arial" w:eastAsia="Arial" w:hAnsi="Arial" w:cs="Lucida Sans Unicode"/>
      <w:kern w:val="2"/>
      <w:sz w:val="28"/>
      <w:szCs w:val="24"/>
    </w:rPr>
  </w:style>
  <w:style w:type="paragraph" w:customStyle="1" w:styleId="Didascalia2">
    <w:name w:val="Didascalia2"/>
    <w:basedOn w:val="Normale"/>
    <w:pPr>
      <w:spacing w:before="120" w:after="120" w:line="240" w:lineRule="auto"/>
    </w:pPr>
    <w:rPr>
      <w:rFonts w:ascii="Century Gothic" w:eastAsia="Mangal" w:hAnsi="Century Gothic" w:cs="Century Gothic"/>
      <w:i/>
      <w:iCs/>
      <w:kern w:val="2"/>
      <w:sz w:val="24"/>
      <w:szCs w:val="24"/>
    </w:rPr>
  </w:style>
  <w:style w:type="paragraph" w:customStyle="1" w:styleId="Index">
    <w:name w:val="Index"/>
    <w:basedOn w:val="Normale"/>
    <w:pPr>
      <w:spacing w:after="0" w:line="240" w:lineRule="auto"/>
    </w:pPr>
    <w:rPr>
      <w:rFonts w:ascii="Century Gothic" w:eastAsia="Mangal" w:hAnsi="Century Gothic" w:cs="Century Gothic"/>
      <w:kern w:val="2"/>
      <w:sz w:val="24"/>
      <w:szCs w:val="24"/>
    </w:rPr>
  </w:style>
  <w:style w:type="paragraph" w:customStyle="1" w:styleId="WW-Heading">
    <w:name w:val="WW-Heading"/>
    <w:basedOn w:val="Normale"/>
    <w:next w:val="Corpotesto"/>
    <w:pPr>
      <w:keepNext/>
      <w:spacing w:before="240" w:after="120" w:line="240" w:lineRule="auto"/>
    </w:pPr>
    <w:rPr>
      <w:rFonts w:ascii="Arial" w:eastAsia="Arial" w:hAnsi="Arial" w:cs="Lucida Sans Unicode"/>
      <w:kern w:val="2"/>
      <w:sz w:val="28"/>
      <w:szCs w:val="24"/>
    </w:rPr>
  </w:style>
  <w:style w:type="paragraph" w:customStyle="1" w:styleId="WW-caption">
    <w:name w:val="WW-caption"/>
    <w:basedOn w:val="Normale"/>
    <w:pPr>
      <w:spacing w:before="120" w:after="120" w:line="240" w:lineRule="auto"/>
    </w:pPr>
    <w:rPr>
      <w:rFonts w:ascii="Century Gothic" w:eastAsia="Century Gothic" w:hAnsi="Century Gothic" w:cs="Century Gothic"/>
      <w:i/>
      <w:iCs/>
      <w:kern w:val="2"/>
      <w:szCs w:val="20"/>
    </w:rPr>
  </w:style>
  <w:style w:type="paragraph" w:customStyle="1" w:styleId="WW-Index">
    <w:name w:val="WW-Index"/>
    <w:basedOn w:val="Normale"/>
    <w:pPr>
      <w:spacing w:after="0" w:line="240" w:lineRule="auto"/>
    </w:pPr>
    <w:rPr>
      <w:rFonts w:ascii="Century Gothic" w:eastAsia="Century Gothic" w:hAnsi="Century Gothic" w:cs="Century Gothic"/>
      <w:kern w:val="2"/>
      <w:szCs w:val="20"/>
    </w:rPr>
  </w:style>
  <w:style w:type="paragraph" w:customStyle="1" w:styleId="WW-Heading1">
    <w:name w:val="WW-Heading1"/>
    <w:basedOn w:val="Normale"/>
    <w:next w:val="Corpotesto"/>
    <w:pPr>
      <w:keepNext/>
      <w:spacing w:before="240" w:after="120" w:line="240" w:lineRule="auto"/>
    </w:pPr>
    <w:rPr>
      <w:rFonts w:ascii="Arial" w:eastAsia="Arial" w:hAnsi="Arial" w:cs="Lucida Sans Unicode"/>
      <w:kern w:val="2"/>
      <w:sz w:val="28"/>
      <w:szCs w:val="24"/>
    </w:rPr>
  </w:style>
  <w:style w:type="paragraph" w:customStyle="1" w:styleId="WW-caption1">
    <w:name w:val="WW-caption1"/>
    <w:basedOn w:val="Normale"/>
    <w:pPr>
      <w:spacing w:before="120" w:after="120" w:line="240" w:lineRule="auto"/>
    </w:pPr>
    <w:rPr>
      <w:rFonts w:ascii="Century Gothic" w:eastAsia="Century Gothic" w:hAnsi="Century Gothic" w:cs="Century Gothic"/>
      <w:i/>
      <w:iCs/>
      <w:kern w:val="2"/>
      <w:szCs w:val="20"/>
    </w:rPr>
  </w:style>
  <w:style w:type="paragraph" w:customStyle="1" w:styleId="WW-Index1">
    <w:name w:val="WW-Index1"/>
    <w:basedOn w:val="Normale"/>
    <w:pPr>
      <w:spacing w:after="0" w:line="240" w:lineRule="auto"/>
    </w:pPr>
    <w:rPr>
      <w:rFonts w:ascii="Century Gothic" w:eastAsia="Century Gothic" w:hAnsi="Century Gothic" w:cs="Century Gothic"/>
      <w:kern w:val="2"/>
      <w:szCs w:val="20"/>
    </w:rPr>
  </w:style>
  <w:style w:type="paragraph" w:customStyle="1" w:styleId="WW-Heading11">
    <w:name w:val="WW-Heading11"/>
    <w:basedOn w:val="Normale"/>
    <w:next w:val="Corpotesto"/>
    <w:pPr>
      <w:keepNext/>
      <w:spacing w:before="240" w:after="120" w:line="240" w:lineRule="auto"/>
    </w:pPr>
    <w:rPr>
      <w:rFonts w:ascii="Arial" w:eastAsia="Arial" w:hAnsi="Arial" w:cs="Lucida Sans Unicode"/>
      <w:kern w:val="2"/>
      <w:sz w:val="28"/>
      <w:szCs w:val="24"/>
    </w:rPr>
  </w:style>
  <w:style w:type="paragraph" w:customStyle="1" w:styleId="WW-caption11">
    <w:name w:val="WW-caption11"/>
    <w:basedOn w:val="Normale"/>
    <w:pPr>
      <w:spacing w:before="120" w:after="120" w:line="240" w:lineRule="auto"/>
    </w:pPr>
    <w:rPr>
      <w:rFonts w:ascii="Century Gothic" w:eastAsia="Century Gothic" w:hAnsi="Century Gothic" w:cs="Century Gothic"/>
      <w:i/>
      <w:iCs/>
      <w:kern w:val="2"/>
      <w:szCs w:val="20"/>
    </w:rPr>
  </w:style>
  <w:style w:type="paragraph" w:customStyle="1" w:styleId="WW-Index11">
    <w:name w:val="WW-Index11"/>
    <w:basedOn w:val="Normale"/>
    <w:pPr>
      <w:spacing w:after="0" w:line="240" w:lineRule="auto"/>
    </w:pPr>
    <w:rPr>
      <w:rFonts w:ascii="Century Gothic" w:eastAsia="Century Gothic" w:hAnsi="Century Gothic" w:cs="Century Gothic"/>
      <w:kern w:val="2"/>
      <w:szCs w:val="20"/>
    </w:rPr>
  </w:style>
  <w:style w:type="paragraph" w:customStyle="1" w:styleId="WW-Heading111">
    <w:name w:val="WW-Heading111"/>
    <w:basedOn w:val="Normale"/>
    <w:next w:val="Corpotesto"/>
    <w:pPr>
      <w:keepNext/>
      <w:spacing w:before="240" w:after="120" w:line="240" w:lineRule="auto"/>
    </w:pPr>
    <w:rPr>
      <w:rFonts w:ascii="Arial" w:eastAsia="Arial" w:hAnsi="Arial" w:cs="Arial"/>
      <w:kern w:val="2"/>
      <w:sz w:val="28"/>
      <w:szCs w:val="24"/>
    </w:rPr>
  </w:style>
  <w:style w:type="paragraph" w:customStyle="1" w:styleId="WW-caption111">
    <w:name w:val="WW-caption111"/>
    <w:basedOn w:val="Normale"/>
    <w:next w:val="Normale"/>
    <w:pPr>
      <w:spacing w:before="120" w:after="120" w:line="240" w:lineRule="auto"/>
    </w:pPr>
    <w:rPr>
      <w:rFonts w:ascii="Times New Roman" w:hAnsi="Times New Roman" w:cs="Times New Roman"/>
      <w:i/>
      <w:iCs/>
      <w:kern w:val="2"/>
      <w:szCs w:val="24"/>
    </w:rPr>
  </w:style>
  <w:style w:type="paragraph" w:customStyle="1" w:styleId="WW-Index111">
    <w:name w:val="WW-Index111"/>
    <w:basedOn w:val="Normale"/>
    <w:next w:val="NumberedList"/>
    <w:pPr>
      <w:spacing w:after="0" w:line="240" w:lineRule="auto"/>
    </w:pPr>
    <w:rPr>
      <w:rFonts w:ascii="Times New Roman" w:hAnsi="Times New Roman" w:cs="Times New Roman"/>
      <w:kern w:val="2"/>
      <w:szCs w:val="24"/>
    </w:rPr>
  </w:style>
  <w:style w:type="paragraph" w:customStyle="1" w:styleId="NumberedList">
    <w:name w:val="Numbered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Titolo21">
    <w:name w:val="Titolo 21"/>
    <w:basedOn w:val="Normale"/>
    <w:next w:val="Normale"/>
    <w:pPr>
      <w:spacing w:before="440" w:after="60" w:line="200" w:lineRule="atLeast"/>
    </w:pPr>
    <w:rPr>
      <w:rFonts w:ascii="Arial" w:eastAsia="Arial" w:hAnsi="Arial" w:cs="Arial"/>
      <w:b/>
      <w:bCs/>
      <w:kern w:val="2"/>
      <w:sz w:val="28"/>
      <w:szCs w:val="24"/>
    </w:rPr>
  </w:style>
  <w:style w:type="paragraph" w:customStyle="1" w:styleId="Titolo31">
    <w:name w:val="Titolo 31"/>
    <w:basedOn w:val="Default"/>
    <w:next w:val="Default"/>
    <w:pPr>
      <w:spacing w:before="440" w:after="60" w:line="200" w:lineRule="atLeast"/>
    </w:pPr>
    <w:rPr>
      <w:rFonts w:ascii="Arial" w:eastAsia="Arial" w:hAnsi="Arial" w:cs="Arial"/>
      <w:b/>
      <w:bCs/>
      <w:kern w:val="2"/>
    </w:rPr>
  </w:style>
  <w:style w:type="paragraph" w:customStyle="1" w:styleId="Titolo41">
    <w:name w:val="Titolo 41"/>
    <w:basedOn w:val="Default"/>
    <w:next w:val="Default"/>
    <w:pPr>
      <w:spacing w:before="440" w:after="60" w:line="200" w:lineRule="atLeast"/>
    </w:pPr>
    <w:rPr>
      <w:rFonts w:ascii="Arial" w:eastAsia="Arial" w:hAnsi="Arial" w:cs="Arial"/>
      <w:b/>
      <w:bCs/>
      <w:kern w:val="2"/>
    </w:rPr>
  </w:style>
  <w:style w:type="paragraph" w:customStyle="1" w:styleId="NumberedHeading1">
    <w:name w:val="Numbered Heading 1"/>
    <w:basedOn w:val="Titolo11"/>
    <w:next w:val="Normale"/>
    <w:pPr>
      <w:widowControl/>
    </w:pPr>
    <w:rPr>
      <w:rFonts w:ascii="Century Gothic" w:eastAsia="Century Gothic" w:hAnsi="Century Gothic" w:cs="Century Gothic"/>
      <w:szCs w:val="20"/>
    </w:rPr>
  </w:style>
  <w:style w:type="paragraph" w:customStyle="1" w:styleId="ChapterHeading">
    <w:name w:val="Chapter Heading"/>
    <w:basedOn w:val="NumberedHeading1"/>
    <w:next w:val="Normale"/>
  </w:style>
  <w:style w:type="paragraph" w:customStyle="1" w:styleId="BoxList">
    <w:name w:val="Box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LowerCaseList">
    <w:name w:val="Lower Case List"/>
    <w:basedOn w:val="NumberedList"/>
    <w:next w:val="Normale"/>
  </w:style>
  <w:style w:type="paragraph" w:customStyle="1" w:styleId="Testodelblocco1">
    <w:name w:val="Testo del blocco1"/>
    <w:basedOn w:val="Normale"/>
    <w:next w:val="Normale"/>
    <w:pPr>
      <w:spacing w:after="120" w:line="200" w:lineRule="atLeast"/>
      <w:ind w:left="1440" w:right="1440"/>
    </w:pPr>
    <w:rPr>
      <w:rFonts w:ascii="Century Gothic" w:eastAsia="Century Gothic" w:hAnsi="Century Gothic" w:cs="Century Gothic"/>
      <w:kern w:val="2"/>
      <w:szCs w:val="20"/>
    </w:rPr>
  </w:style>
  <w:style w:type="paragraph" w:customStyle="1" w:styleId="TriangleList">
    <w:name w:val="Triangle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UpperCaseList">
    <w:name w:val="Upper Case List"/>
    <w:basedOn w:val="NumberedList"/>
    <w:next w:val="Normale"/>
  </w:style>
  <w:style w:type="paragraph" w:customStyle="1" w:styleId="BulletList">
    <w:name w:val="Bullet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HeartList">
    <w:name w:val="Heart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SquareList">
    <w:name w:val="Square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ContentsHeader">
    <w:name w:val="Contents Header"/>
    <w:basedOn w:val="Normale"/>
    <w:next w:val="Normale"/>
    <w:pPr>
      <w:spacing w:before="240" w:after="120" w:line="200" w:lineRule="atLeast"/>
      <w:jc w:val="center"/>
    </w:pPr>
    <w:rPr>
      <w:rFonts w:ascii="Arial" w:eastAsia="Arial" w:hAnsi="Arial" w:cs="Arial"/>
      <w:b/>
      <w:bCs/>
      <w:kern w:val="2"/>
      <w:sz w:val="32"/>
      <w:szCs w:val="24"/>
    </w:rPr>
  </w:style>
  <w:style w:type="paragraph" w:customStyle="1" w:styleId="DiamondList">
    <w:name w:val="Diamond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Nessunaspaziatura1">
    <w:name w:val="Nessuna spaziatura1"/>
    <w:pPr>
      <w:widowControl w:val="0"/>
      <w:suppressAutoHyphens/>
      <w:autoSpaceDE w:val="0"/>
    </w:pPr>
    <w:rPr>
      <w:kern w:val="2"/>
      <w:sz w:val="24"/>
      <w:szCs w:val="24"/>
      <w:lang w:eastAsia="zh-CN" w:bidi="hi-IN"/>
    </w:rPr>
  </w:style>
  <w:style w:type="paragraph" w:customStyle="1" w:styleId="Body1">
    <w:name w:val="Body 1"/>
    <w:pPr>
      <w:widowControl w:val="0"/>
      <w:suppressAutoHyphens/>
      <w:autoSpaceDE w:val="0"/>
    </w:pPr>
    <w:rPr>
      <w:rFonts w:ascii="Helvetica" w:eastAsia="Helvetica" w:hAnsi="Helvetica" w:cs="Helvetica"/>
      <w:kern w:val="2"/>
      <w:sz w:val="22"/>
      <w:szCs w:val="24"/>
      <w:lang w:eastAsia="zh-CN" w:bidi="hi-IN"/>
    </w:rPr>
  </w:style>
  <w:style w:type="paragraph" w:styleId="PreformattatoHTML">
    <w:name w:val="HTML Preformatted"/>
    <w:basedOn w:val="Normale"/>
    <w:pPr>
      <w:spacing w:after="0" w:line="200" w:lineRule="atLeast"/>
    </w:pPr>
    <w:rPr>
      <w:rFonts w:ascii="Courier New" w:eastAsia="Courier New" w:hAnsi="Courier New" w:cs="Courier New"/>
      <w:kern w:val="2"/>
      <w:szCs w:val="24"/>
    </w:rPr>
  </w:style>
  <w:style w:type="paragraph" w:customStyle="1" w:styleId="UpperRomanList">
    <w:name w:val="Upper Roman List"/>
    <w:basedOn w:val="NumberedList"/>
    <w:next w:val="Normale"/>
  </w:style>
  <w:style w:type="paragraph" w:customStyle="1" w:styleId="HandList">
    <w:name w:val="Hand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styleId="Rientrocorpodeltesto">
    <w:name w:val="Body Text Indent"/>
    <w:basedOn w:val="Corpotesto"/>
    <w:pPr>
      <w:spacing w:after="0"/>
      <w:ind w:left="283"/>
    </w:pPr>
    <w:rPr>
      <w:kern w:val="2"/>
    </w:rPr>
  </w:style>
  <w:style w:type="paragraph" w:customStyle="1" w:styleId="Corpodeltesto21">
    <w:name w:val="Corpo del testo 21"/>
    <w:basedOn w:val="Normale"/>
    <w:pPr>
      <w:spacing w:after="120" w:line="480" w:lineRule="auto"/>
    </w:pPr>
    <w:rPr>
      <w:rFonts w:ascii="Times New Roman" w:hAnsi="Times New Roman" w:cs="Times New Roman"/>
      <w:kern w:val="2"/>
      <w:szCs w:val="24"/>
    </w:rPr>
  </w:style>
  <w:style w:type="paragraph" w:customStyle="1" w:styleId="Testonormale1">
    <w:name w:val="Testo normale1"/>
    <w:basedOn w:val="Normale"/>
    <w:next w:val="Normale"/>
    <w:pPr>
      <w:spacing w:after="0" w:line="200" w:lineRule="atLeast"/>
    </w:pPr>
    <w:rPr>
      <w:rFonts w:ascii="Courier New" w:eastAsia="Courier New" w:hAnsi="Courier New" w:cs="Courier New"/>
      <w:kern w:val="2"/>
      <w:szCs w:val="24"/>
    </w:rPr>
  </w:style>
  <w:style w:type="paragraph" w:customStyle="1" w:styleId="StarList">
    <w:name w:val="Star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SectionHeading">
    <w:name w:val="Section Heading"/>
    <w:basedOn w:val="NumberedHeading1"/>
    <w:next w:val="Normale"/>
  </w:style>
  <w:style w:type="paragraph" w:customStyle="1" w:styleId="Pidipagina0">
    <w:name w:val="PiÃ¨ di pagina"/>
    <w:basedOn w:val="Normale"/>
    <w:pPr>
      <w:spacing w:after="0" w:line="200" w:lineRule="atLeast"/>
    </w:pPr>
    <w:rPr>
      <w:rFonts w:ascii="Times New Roman" w:hAnsi="Times New Roman" w:cs="Times New Roman"/>
      <w:kern w:val="2"/>
      <w:szCs w:val="24"/>
    </w:rPr>
  </w:style>
  <w:style w:type="paragraph" w:customStyle="1" w:styleId="Intestazione2">
    <w:name w:val="Intestazione2"/>
    <w:basedOn w:val="Normale"/>
    <w:pPr>
      <w:spacing w:after="0" w:line="240" w:lineRule="auto"/>
    </w:pPr>
    <w:rPr>
      <w:rFonts w:ascii="Times New Roman" w:hAnsi="Times New Roman" w:cs="Times New Roman"/>
      <w:kern w:val="2"/>
      <w:szCs w:val="24"/>
    </w:rPr>
  </w:style>
  <w:style w:type="paragraph" w:customStyle="1" w:styleId="ImpliesList">
    <w:name w:val="Implies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Text">
    <w:name w:val="Text"/>
    <w:basedOn w:val="Normale"/>
    <w:pPr>
      <w:spacing w:after="120"/>
    </w:pPr>
    <w:rPr>
      <w:rFonts w:ascii="Times New Roman" w:hAnsi="Times New Roman" w:cs="Times New Roman"/>
      <w:kern w:val="2"/>
      <w:sz w:val="26"/>
      <w:szCs w:val="24"/>
    </w:rPr>
  </w:style>
  <w:style w:type="paragraph" w:customStyle="1" w:styleId="TickList">
    <w:name w:val="Tick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Paragrafoelenco2">
    <w:name w:val="Paragrafo elenco2"/>
    <w:basedOn w:val="Normale"/>
    <w:pPr>
      <w:spacing w:after="0" w:line="240" w:lineRule="auto"/>
    </w:pPr>
    <w:rPr>
      <w:rFonts w:eastAsia="Calibri"/>
      <w:kern w:val="2"/>
      <w:szCs w:val="24"/>
    </w:rPr>
  </w:style>
  <w:style w:type="paragraph" w:customStyle="1" w:styleId="ListParagraph1">
    <w:name w:val="List Paragraph1"/>
    <w:basedOn w:val="Normale"/>
    <w:pPr>
      <w:spacing w:after="0" w:line="240" w:lineRule="auto"/>
    </w:pPr>
    <w:rPr>
      <w:rFonts w:eastAsia="Calibri"/>
      <w:kern w:val="2"/>
      <w:szCs w:val="24"/>
    </w:rPr>
  </w:style>
  <w:style w:type="paragraph" w:customStyle="1" w:styleId="DashedList">
    <w:name w:val="Dashed List"/>
    <w:next w:val="Normale"/>
    <w:pPr>
      <w:widowControl w:val="0"/>
      <w:suppressAutoHyphens/>
      <w:autoSpaceDE w:val="0"/>
      <w:ind w:left="720" w:hanging="431"/>
    </w:pPr>
    <w:rPr>
      <w:rFonts w:ascii="Century Gothic" w:eastAsia="Century Gothic" w:hAnsi="Century Gothic" w:cs="Century Gothic"/>
      <w:kern w:val="2"/>
      <w:sz w:val="24"/>
      <w:szCs w:val="24"/>
      <w:lang w:eastAsia="zh-CN" w:bidi="hi-IN"/>
    </w:rPr>
  </w:style>
  <w:style w:type="paragraph" w:customStyle="1" w:styleId="LowerRomanList">
    <w:name w:val="Lower Roman List"/>
    <w:basedOn w:val="Normale"/>
    <w:next w:val="Normale"/>
    <w:pPr>
      <w:spacing w:after="0" w:line="200" w:lineRule="atLeast"/>
      <w:ind w:left="720" w:hanging="431"/>
    </w:pPr>
    <w:rPr>
      <w:rFonts w:ascii="Century Gothic" w:eastAsia="Century Gothic" w:hAnsi="Century Gothic" w:cs="Century Gothic"/>
      <w:kern w:val="2"/>
      <w:szCs w:val="20"/>
    </w:rPr>
  </w:style>
  <w:style w:type="paragraph" w:customStyle="1" w:styleId="NumberedHeading2">
    <w:name w:val="Numbered Heading 2"/>
    <w:basedOn w:val="Titolo21"/>
    <w:next w:val="Normale"/>
    <w:pPr>
      <w:spacing w:before="0" w:after="0"/>
    </w:pPr>
    <w:rPr>
      <w:rFonts w:ascii="Century Gothic" w:eastAsia="Century Gothic" w:hAnsi="Century Gothic" w:cs="Century Gothic"/>
      <w:b w:val="0"/>
      <w:bCs w:val="0"/>
      <w:sz w:val="24"/>
    </w:rPr>
  </w:style>
  <w:style w:type="paragraph" w:customStyle="1" w:styleId="NumberedHeading3">
    <w:name w:val="Numbered Heading 3"/>
    <w:basedOn w:val="Titolo31"/>
    <w:next w:val="Normale"/>
    <w:pPr>
      <w:spacing w:before="0" w:after="0"/>
    </w:pPr>
    <w:rPr>
      <w:rFonts w:ascii="Century Gothic" w:eastAsia="Century Gothic" w:hAnsi="Century Gothic" w:cs="Century Gothic"/>
      <w:b w:val="0"/>
      <w:bCs w:val="0"/>
    </w:rPr>
  </w:style>
  <w:style w:type="paragraph" w:customStyle="1" w:styleId="Style19">
    <w:name w:val="Style 19"/>
    <w:pPr>
      <w:widowControl w:val="0"/>
      <w:suppressAutoHyphens/>
      <w:autoSpaceDE w:val="0"/>
      <w:spacing w:line="336" w:lineRule="auto"/>
      <w:jc w:val="both"/>
    </w:pPr>
    <w:rPr>
      <w:kern w:val="2"/>
      <w:szCs w:val="24"/>
      <w:lang w:eastAsia="zh-CN" w:bidi="hi-IN"/>
    </w:rPr>
  </w:style>
  <w:style w:type="paragraph" w:customStyle="1" w:styleId="Contents1">
    <w:name w:val="Contents 1"/>
    <w:basedOn w:val="Normale"/>
    <w:next w:val="Normale"/>
    <w:pPr>
      <w:spacing w:after="0" w:line="200" w:lineRule="atLeast"/>
      <w:ind w:left="720" w:hanging="431"/>
    </w:pPr>
    <w:rPr>
      <w:rFonts w:ascii="Century Gothic" w:eastAsia="Century Gothic" w:hAnsi="Century Gothic" w:cs="Century Gothic"/>
      <w:kern w:val="2"/>
      <w:szCs w:val="20"/>
    </w:rPr>
  </w:style>
  <w:style w:type="paragraph" w:customStyle="1" w:styleId="Contents2">
    <w:name w:val="Contents 2"/>
    <w:basedOn w:val="Normale"/>
    <w:next w:val="Normale"/>
    <w:pPr>
      <w:spacing w:after="0" w:line="200" w:lineRule="atLeast"/>
      <w:ind w:left="1440" w:hanging="431"/>
    </w:pPr>
    <w:rPr>
      <w:rFonts w:ascii="Century Gothic" w:eastAsia="Century Gothic" w:hAnsi="Century Gothic" w:cs="Century Gothic"/>
      <w:kern w:val="2"/>
      <w:szCs w:val="20"/>
    </w:rPr>
  </w:style>
  <w:style w:type="paragraph" w:customStyle="1" w:styleId="Contents3">
    <w:name w:val="Contents 3"/>
    <w:basedOn w:val="Normale"/>
    <w:next w:val="Normale"/>
    <w:pPr>
      <w:spacing w:after="0" w:line="200" w:lineRule="atLeast"/>
      <w:ind w:left="2160" w:hanging="431"/>
    </w:pPr>
    <w:rPr>
      <w:rFonts w:ascii="Century Gothic" w:eastAsia="Century Gothic" w:hAnsi="Century Gothic" w:cs="Century Gothic"/>
      <w:kern w:val="2"/>
      <w:szCs w:val="20"/>
    </w:rPr>
  </w:style>
  <w:style w:type="paragraph" w:customStyle="1" w:styleId="Contents4">
    <w:name w:val="Contents 4"/>
    <w:basedOn w:val="Normale"/>
    <w:next w:val="Normale"/>
    <w:pPr>
      <w:spacing w:after="0" w:line="200" w:lineRule="atLeast"/>
      <w:ind w:left="2880" w:hanging="431"/>
    </w:pPr>
    <w:rPr>
      <w:rFonts w:ascii="Century Gothic" w:eastAsia="Century Gothic" w:hAnsi="Century Gothic" w:cs="Century Gothic"/>
      <w:kern w:val="2"/>
      <w:szCs w:val="20"/>
    </w:rPr>
  </w:style>
  <w:style w:type="paragraph" w:customStyle="1" w:styleId="Lineaorizzontale">
    <w:name w:val="Linea orizzontale"/>
    <w:basedOn w:val="Normale"/>
    <w:next w:val="Corpotesto"/>
    <w:pPr>
      <w:suppressLineNumbers/>
      <w:spacing w:after="283" w:line="240" w:lineRule="auto"/>
    </w:pPr>
    <w:rPr>
      <w:rFonts w:ascii="Times New Roman" w:hAnsi="Times New Roman" w:cs="Times New Roman"/>
      <w:kern w:val="2"/>
      <w:sz w:val="12"/>
      <w:szCs w:val="12"/>
    </w:rPr>
  </w:style>
  <w:style w:type="paragraph" w:styleId="Revisione">
    <w:name w:val="Revision"/>
    <w:pPr>
      <w:suppressAutoHyphens/>
    </w:pPr>
    <w:rPr>
      <w:rFonts w:ascii="Calibri" w:hAnsi="Calibri" w:cs="Calibri"/>
      <w:sz w:val="22"/>
      <w:szCs w:val="22"/>
      <w:lang w:eastAsia="zh-CN"/>
    </w:rPr>
  </w:style>
  <w:style w:type="paragraph" w:customStyle="1" w:styleId="Testocommento1">
    <w:name w:val="Testo commento1"/>
    <w:basedOn w:val="Normale"/>
    <w:pPr>
      <w:spacing w:line="240" w:lineRule="auto"/>
    </w:pPr>
    <w:rPr>
      <w:szCs w:val="20"/>
    </w:rPr>
  </w:style>
  <w:style w:type="paragraph" w:styleId="Soggettocommento">
    <w:name w:val="annotation subject"/>
    <w:basedOn w:val="Testocommento1"/>
    <w:next w:val="Testocommento1"/>
    <w:rPr>
      <w:b/>
      <w:bCs/>
    </w:rPr>
  </w:style>
  <w:style w:type="paragraph" w:customStyle="1" w:styleId="Indice10">
    <w:name w:val="Indice 10"/>
    <w:basedOn w:val="Indice"/>
    <w:pPr>
      <w:ind w:left="2547"/>
    </w:pPr>
  </w:style>
  <w:style w:type="paragraph" w:customStyle="1" w:styleId="Contenutocornice">
    <w:name w:val="Contenuto cornice"/>
    <w:basedOn w:val="Normale"/>
  </w:style>
  <w:style w:type="paragraph" w:customStyle="1" w:styleId="Corpodeltesto22">
    <w:name w:val="Corpo del testo 22"/>
    <w:basedOn w:val="Normale"/>
    <w:pPr>
      <w:spacing w:after="120" w:line="480" w:lineRule="auto"/>
    </w:pPr>
  </w:style>
  <w:style w:type="paragraph" w:customStyle="1" w:styleId="Rientrocorpodeltesto22">
    <w:name w:val="Rientro corpo del testo 22"/>
    <w:basedOn w:val="Normale"/>
    <w:pPr>
      <w:suppressAutoHyphens w:val="0"/>
      <w:spacing w:after="0"/>
      <w:ind w:left="720"/>
    </w:pPr>
    <w:rPr>
      <w:rFonts w:ascii="Times New Roman" w:hAnsi="Times New Roman" w:cs="Times New Roman"/>
      <w:sz w:val="24"/>
      <w:szCs w:val="24"/>
    </w:rPr>
  </w:style>
  <w:style w:type="paragraph" w:customStyle="1" w:styleId="Testonormale2">
    <w:name w:val="Testo normale2"/>
    <w:basedOn w:val="Normale"/>
    <w:pPr>
      <w:suppressAutoHyphens w:val="0"/>
      <w:spacing w:after="0" w:line="240" w:lineRule="auto"/>
    </w:pPr>
    <w:rPr>
      <w:rFonts w:ascii="Courier New" w:hAnsi="Courier New" w:cs="Courier New"/>
      <w:szCs w:val="20"/>
    </w:rPr>
  </w:style>
  <w:style w:type="paragraph" w:customStyle="1" w:styleId="Rientrocorpodeltesto32">
    <w:name w:val="Rientro corpo del testo 32"/>
    <w:basedOn w:val="Normale"/>
    <w:pPr>
      <w:suppressAutoHyphens w:val="0"/>
      <w:spacing w:after="0"/>
      <w:ind w:firstLine="709"/>
    </w:pPr>
    <w:rPr>
      <w:rFonts w:ascii="Times New Roman" w:hAnsi="Times New Roman" w:cs="Times New Roman"/>
      <w:b/>
      <w:sz w:val="24"/>
      <w:szCs w:val="24"/>
    </w:rPr>
  </w:style>
  <w:style w:type="paragraph" w:customStyle="1" w:styleId="titolo30">
    <w:name w:val="titolo3"/>
    <w:basedOn w:val="Corpotesto"/>
    <w:pPr>
      <w:suppressAutoHyphens w:val="0"/>
      <w:spacing w:after="0" w:line="360" w:lineRule="auto"/>
      <w:ind w:firstLine="709"/>
    </w:pPr>
  </w:style>
  <w:style w:type="paragraph" w:customStyle="1" w:styleId="Corpodeltesto31">
    <w:name w:val="Corpo del testo 31"/>
    <w:basedOn w:val="Default"/>
    <w:next w:val="Default"/>
    <w:pPr>
      <w:suppressAutoHyphens w:val="0"/>
      <w:spacing w:after="0"/>
    </w:pPr>
    <w:rPr>
      <w:i/>
      <w:color w:val="0000FF"/>
    </w:rPr>
  </w:style>
  <w:style w:type="paragraph" w:customStyle="1" w:styleId="Mappadocumento1">
    <w:name w:val="Mappa documento1"/>
    <w:basedOn w:val="Normale"/>
    <w:pPr>
      <w:shd w:val="clear" w:color="auto" w:fill="000080"/>
      <w:suppressAutoHyphens w:val="0"/>
      <w:spacing w:after="0" w:line="240" w:lineRule="auto"/>
    </w:pPr>
    <w:rPr>
      <w:rFonts w:cs="Tahoma"/>
      <w:sz w:val="24"/>
      <w:szCs w:val="24"/>
    </w:rPr>
  </w:style>
  <w:style w:type="paragraph" w:customStyle="1" w:styleId="Numeroelenco1">
    <w:name w:val="Numero elenco1"/>
    <w:basedOn w:val="Normale"/>
    <w:pPr>
      <w:suppressAutoHyphens w:val="0"/>
      <w:spacing w:after="0" w:line="240" w:lineRule="auto"/>
      <w:ind w:left="360" w:hanging="360"/>
    </w:pPr>
    <w:rPr>
      <w:rFonts w:ascii="Times New Roman" w:hAnsi="Times New Roman" w:cs="Times New Roman"/>
      <w:sz w:val="24"/>
      <w:szCs w:val="24"/>
    </w:rPr>
  </w:style>
  <w:style w:type="paragraph" w:customStyle="1" w:styleId="elenco2">
    <w:name w:val="elenco 2"/>
    <w:basedOn w:val="Numeroelenco1"/>
    <w:rPr>
      <w:sz w:val="22"/>
      <w:szCs w:val="20"/>
    </w:rPr>
  </w:style>
  <w:style w:type="paragraph" w:customStyle="1" w:styleId="margie2">
    <w:name w:val="margie 2"/>
    <w:basedOn w:val="Normale"/>
    <w:next w:val="Normale"/>
    <w:pPr>
      <w:keepLines/>
      <w:suppressAutoHyphens w:val="0"/>
      <w:overflowPunct w:val="0"/>
      <w:autoSpaceDE w:val="0"/>
      <w:spacing w:after="120" w:line="280" w:lineRule="exact"/>
      <w:ind w:left="680" w:hanging="340"/>
      <w:textAlignment w:val="baseline"/>
    </w:pPr>
    <w:rPr>
      <w:rFonts w:ascii="Times New Roman" w:hAnsi="Times New Roman" w:cs="Times New Roman"/>
      <w:szCs w:val="20"/>
    </w:rPr>
  </w:style>
  <w:style w:type="paragraph" w:customStyle="1" w:styleId="margie1">
    <w:name w:val="margie 1"/>
    <w:basedOn w:val="Normale"/>
    <w:pPr>
      <w:keepLines/>
      <w:suppressAutoHyphens w:val="0"/>
      <w:overflowPunct w:val="0"/>
      <w:autoSpaceDE w:val="0"/>
      <w:spacing w:after="120" w:line="280" w:lineRule="exact"/>
      <w:ind w:left="340" w:hanging="340"/>
      <w:textAlignment w:val="baseline"/>
    </w:pPr>
    <w:rPr>
      <w:rFonts w:ascii="Times New Roman" w:hAnsi="Times New Roman" w:cs="Times New Roman"/>
      <w:szCs w:val="20"/>
    </w:rPr>
  </w:style>
  <w:style w:type="paragraph" w:customStyle="1" w:styleId="Numeroelenco21">
    <w:name w:val="Numero elenco 21"/>
    <w:basedOn w:val="Normale"/>
    <w:pPr>
      <w:suppressAutoHyphens w:val="0"/>
      <w:spacing w:after="130" w:line="260" w:lineRule="exact"/>
    </w:pPr>
    <w:rPr>
      <w:rFonts w:ascii="Times New Roman" w:hAnsi="Times New Roman" w:cs="Times New Roman"/>
      <w:szCs w:val="24"/>
    </w:rPr>
  </w:style>
  <w:style w:type="paragraph" w:customStyle="1" w:styleId="Bullet">
    <w:name w:val="Bullet"/>
    <w:basedOn w:val="Normale"/>
    <w:pPr>
      <w:numPr>
        <w:numId w:val="9"/>
      </w:numPr>
      <w:suppressAutoHyphens w:val="0"/>
      <w:spacing w:after="130" w:line="260" w:lineRule="exact"/>
    </w:pPr>
    <w:rPr>
      <w:rFonts w:ascii="Times New Roman" w:hAnsi="Times New Roman" w:cs="Times New Roman"/>
      <w:szCs w:val="24"/>
    </w:rPr>
  </w:style>
  <w:style w:type="paragraph" w:customStyle="1" w:styleId="Testofumettopuntato">
    <w:name w:val="Testo fumetto puntato"/>
    <w:basedOn w:val="Testofumetto"/>
    <w:pPr>
      <w:numPr>
        <w:numId w:val="5"/>
      </w:numPr>
      <w:suppressAutoHyphens w:val="0"/>
      <w:spacing w:after="0"/>
    </w:pPr>
    <w:rPr>
      <w:rFonts w:ascii="Times New Roman" w:hAnsi="Times New Roman" w:cs="Times New Roman"/>
      <w:sz w:val="18"/>
      <w:szCs w:val="24"/>
    </w:rPr>
  </w:style>
  <w:style w:type="paragraph" w:customStyle="1" w:styleId="Titolo3ter">
    <w:name w:val="Titolo 3 ter"/>
    <w:basedOn w:val="Titolo3"/>
    <w:pPr>
      <w:keepLines w:val="0"/>
      <w:numPr>
        <w:ilvl w:val="0"/>
        <w:numId w:val="8"/>
      </w:numPr>
      <w:suppressAutoHyphens w:val="0"/>
      <w:spacing w:before="260" w:after="140" w:line="260" w:lineRule="exact"/>
      <w:ind w:left="0"/>
    </w:pPr>
    <w:rPr>
      <w:rFonts w:ascii="Times New Roman" w:hAnsi="Times New Roman" w:cs="Times New Roman"/>
      <w:bCs w:val="0"/>
      <w:i w:val="0"/>
      <w:color w:val="000000"/>
      <w:sz w:val="24"/>
      <w:szCs w:val="24"/>
    </w:rPr>
  </w:style>
  <w:style w:type="paragraph" w:customStyle="1" w:styleId="Titolo3b">
    <w:name w:val="Titolo 3 b"/>
    <w:basedOn w:val="Titolo3"/>
    <w:pPr>
      <w:keepLines w:val="0"/>
      <w:numPr>
        <w:ilvl w:val="0"/>
        <w:numId w:val="10"/>
      </w:numPr>
      <w:suppressAutoHyphens w:val="0"/>
      <w:spacing w:before="260" w:after="140" w:line="260" w:lineRule="exact"/>
    </w:pPr>
    <w:rPr>
      <w:rFonts w:ascii="Times New Roman" w:hAnsi="Times New Roman" w:cs="Times New Roman"/>
      <w:bCs w:val="0"/>
      <w:i w:val="0"/>
      <w:color w:val="000000"/>
      <w:sz w:val="24"/>
      <w:szCs w:val="24"/>
    </w:rPr>
  </w:style>
  <w:style w:type="paragraph" w:customStyle="1" w:styleId="Sottobullet">
    <w:name w:val="Sottobullet"/>
    <w:basedOn w:val="Bullet"/>
    <w:pPr>
      <w:numPr>
        <w:numId w:val="4"/>
      </w:numPr>
    </w:pPr>
  </w:style>
  <w:style w:type="paragraph" w:customStyle="1" w:styleId="elencopuntato">
    <w:name w:val="elencopuntato"/>
    <w:basedOn w:val="Normale"/>
    <w:pPr>
      <w:suppressAutoHyphens w:val="0"/>
      <w:spacing w:after="0" w:line="240" w:lineRule="auto"/>
    </w:pPr>
    <w:rPr>
      <w:rFonts w:ascii="Times New Roman" w:hAnsi="Times New Roman" w:cs="Times New Roman"/>
      <w:sz w:val="24"/>
      <w:szCs w:val="24"/>
    </w:rPr>
  </w:style>
  <w:style w:type="paragraph" w:customStyle="1" w:styleId="colonna2">
    <w:name w:val="colonna2"/>
    <w:basedOn w:val="Normale"/>
    <w:next w:val="Normale"/>
    <w:pPr>
      <w:keepLines/>
      <w:suppressAutoHyphens w:val="0"/>
      <w:overflowPunct w:val="0"/>
      <w:autoSpaceDE w:val="0"/>
      <w:spacing w:after="0" w:line="240" w:lineRule="auto"/>
      <w:textAlignment w:val="baseline"/>
    </w:pPr>
    <w:rPr>
      <w:rFonts w:ascii="Arial" w:hAnsi="Arial" w:cs="Arial"/>
      <w:szCs w:val="24"/>
    </w:rPr>
  </w:style>
  <w:style w:type="paragraph" w:customStyle="1" w:styleId="Testodelblocco2">
    <w:name w:val="Testo del blocco2"/>
    <w:basedOn w:val="Normale"/>
    <w:pPr>
      <w:suppressAutoHyphens w:val="0"/>
      <w:spacing w:after="0" w:line="240" w:lineRule="auto"/>
      <w:ind w:left="720" w:right="1270" w:hanging="720"/>
    </w:pPr>
    <w:rPr>
      <w:rFonts w:ascii="Times New Roman" w:hAnsi="Times New Roman" w:cs="Times New Roman"/>
      <w:szCs w:val="24"/>
    </w:rPr>
  </w:style>
  <w:style w:type="paragraph" w:customStyle="1" w:styleId="BalloonText1">
    <w:name w:val="Balloon Text1"/>
    <w:basedOn w:val="Normale"/>
    <w:pPr>
      <w:suppressAutoHyphens w:val="0"/>
      <w:spacing w:after="0" w:line="240" w:lineRule="auto"/>
    </w:pPr>
    <w:rPr>
      <w:rFonts w:cs="Tahoma"/>
      <w:sz w:val="16"/>
      <w:szCs w:val="16"/>
    </w:rPr>
  </w:style>
  <w:style w:type="paragraph" w:customStyle="1" w:styleId="provvr0">
    <w:name w:val="provv_r0"/>
    <w:basedOn w:val="Normale"/>
    <w:pPr>
      <w:suppressAutoHyphens w:val="0"/>
      <w:spacing w:before="280" w:after="280" w:line="240" w:lineRule="auto"/>
    </w:pPr>
    <w:rPr>
      <w:rFonts w:ascii="Times New Roman" w:hAnsi="Times New Roman" w:cs="Times New Roman"/>
      <w:sz w:val="24"/>
      <w:szCs w:val="24"/>
    </w:rPr>
  </w:style>
  <w:style w:type="paragraph" w:customStyle="1" w:styleId="provvr1">
    <w:name w:val="provv_r1"/>
    <w:basedOn w:val="Normale"/>
    <w:pPr>
      <w:suppressAutoHyphens w:val="0"/>
      <w:spacing w:before="280" w:after="280" w:line="240" w:lineRule="auto"/>
    </w:pPr>
    <w:rPr>
      <w:rFonts w:ascii="Times New Roman" w:hAnsi="Times New Roman" w:cs="Times New Roman"/>
      <w:sz w:val="24"/>
      <w:szCs w:val="24"/>
    </w:rPr>
  </w:style>
  <w:style w:type="paragraph" w:customStyle="1" w:styleId="provvnota">
    <w:name w:val="provv_nota"/>
    <w:basedOn w:val="Normale"/>
    <w:pPr>
      <w:suppressAutoHyphens w:val="0"/>
      <w:spacing w:before="280" w:after="280" w:line="240" w:lineRule="auto"/>
    </w:pPr>
    <w:rPr>
      <w:rFonts w:ascii="Times New Roman" w:hAnsi="Times New Roman" w:cs="Times New Roman"/>
      <w:sz w:val="24"/>
      <w:szCs w:val="24"/>
    </w:rPr>
  </w:style>
  <w:style w:type="paragraph" w:customStyle="1" w:styleId="Testoopiniontsop">
    <w:name w:val="Testo opinion.tsop"/>
    <w:basedOn w:val="Normale"/>
    <w:pPr>
      <w:suppressAutoHyphens w:val="0"/>
      <w:spacing w:before="130" w:after="130" w:line="260" w:lineRule="exact"/>
    </w:pPr>
    <w:rPr>
      <w:rFonts w:ascii="Times New Roman" w:hAnsi="Times New Roman" w:cs="Times New Roman"/>
      <w:szCs w:val="20"/>
    </w:rPr>
  </w:style>
  <w:style w:type="paragraph" w:customStyle="1" w:styleId="BodyText21">
    <w:name w:val="Body Text 21"/>
    <w:basedOn w:val="Normale"/>
    <w:pPr>
      <w:suppressAutoHyphens w:val="0"/>
      <w:spacing w:after="0" w:line="240" w:lineRule="auto"/>
    </w:pPr>
    <w:rPr>
      <w:rFonts w:ascii="Times New Roman" w:hAnsi="Times New Roman" w:cs="Times New Roman"/>
      <w:color w:val="000000"/>
      <w:szCs w:val="20"/>
    </w:rPr>
  </w:style>
  <w:style w:type="paragraph" w:customStyle="1" w:styleId="Data1">
    <w:name w:val="Data1"/>
    <w:basedOn w:val="Normale"/>
    <w:next w:val="Normale"/>
    <w:pPr>
      <w:suppressAutoHyphens w:val="0"/>
      <w:spacing w:before="390" w:after="520" w:line="260" w:lineRule="exact"/>
    </w:pPr>
    <w:rPr>
      <w:rFonts w:ascii="Times New Roman" w:hAnsi="Times New Roman" w:cs="Times New Roman"/>
      <w:szCs w:val="20"/>
      <w:lang w:val="en-GB"/>
    </w:rPr>
  </w:style>
  <w:style w:type="paragraph" w:customStyle="1" w:styleId="Indirizzoind">
    <w:name w:val="Indirizzo.ind"/>
    <w:basedOn w:val="Normale"/>
    <w:pPr>
      <w:suppressAutoHyphens w:val="0"/>
      <w:autoSpaceDE w:val="0"/>
      <w:spacing w:after="260" w:line="260" w:lineRule="exact"/>
    </w:pPr>
    <w:rPr>
      <w:rFonts w:ascii="Times New Roman" w:hAnsi="Times New Roman" w:cs="Times New Roman"/>
    </w:rPr>
  </w:style>
  <w:style w:type="paragraph" w:styleId="Firma">
    <w:name w:val="Signature"/>
    <w:basedOn w:val="Normale"/>
    <w:pPr>
      <w:suppressAutoHyphens w:val="0"/>
      <w:spacing w:after="0" w:line="240" w:lineRule="auto"/>
    </w:pPr>
    <w:rPr>
      <w:rFonts w:ascii="Times New Roman" w:hAnsi="Times New Roman" w:cs="Times New Roman"/>
      <w:szCs w:val="20"/>
    </w:rPr>
  </w:style>
  <w:style w:type="paragraph" w:customStyle="1" w:styleId="Societ">
    <w:name w:val="Società"/>
    <w:basedOn w:val="Corpotesto"/>
    <w:pPr>
      <w:suppressAutoHyphens w:val="0"/>
      <w:spacing w:before="480" w:after="960" w:line="260" w:lineRule="atLeast"/>
    </w:pPr>
    <w:rPr>
      <w:sz w:val="22"/>
      <w:szCs w:val="20"/>
    </w:rPr>
  </w:style>
  <w:style w:type="paragraph" w:customStyle="1" w:styleId="ABLOCKPARA">
    <w:name w:val="A BLOCK PARA"/>
    <w:basedOn w:val="Normale"/>
    <w:pPr>
      <w:suppressAutoHyphens w:val="0"/>
      <w:spacing w:after="0" w:line="240" w:lineRule="auto"/>
    </w:pPr>
    <w:rPr>
      <w:rFonts w:ascii="Book Antiqua" w:hAnsi="Book Antiqua" w:cs="Book Antiqua"/>
      <w:szCs w:val="20"/>
    </w:rPr>
  </w:style>
  <w:style w:type="paragraph" w:customStyle="1" w:styleId="CM1">
    <w:name w:val="CM1"/>
    <w:basedOn w:val="Default"/>
    <w:next w:val="Default"/>
    <w:pPr>
      <w:widowControl/>
      <w:suppressAutoHyphens w:val="0"/>
    </w:pPr>
    <w:rPr>
      <w:rFonts w:eastAsia="Times New Roman"/>
    </w:rPr>
  </w:style>
  <w:style w:type="paragraph" w:customStyle="1" w:styleId="CM3">
    <w:name w:val="CM3"/>
    <w:basedOn w:val="Normale"/>
    <w:next w:val="Normale"/>
    <w:pPr>
      <w:suppressAutoHyphens w:val="0"/>
    </w:pPr>
    <w:rPr>
      <w:color w:val="000000"/>
    </w:rPr>
  </w:style>
  <w:style w:type="paragraph" w:customStyle="1" w:styleId="CM4">
    <w:name w:val="CM4"/>
    <w:basedOn w:val="Default"/>
    <w:next w:val="Default"/>
    <w:pPr>
      <w:widowControl/>
      <w:suppressAutoHyphens w:val="0"/>
    </w:pPr>
    <w:rPr>
      <w:rFonts w:eastAsia="Times New Roman"/>
    </w:rPr>
  </w:style>
  <w:style w:type="paragraph" w:customStyle="1" w:styleId="Puntoelenco1">
    <w:name w:val="Punto elenco1"/>
    <w:basedOn w:val="Normale"/>
    <w:pPr>
      <w:numPr>
        <w:numId w:val="3"/>
      </w:numPr>
      <w:suppressAutoHyphens w:val="0"/>
      <w:spacing w:after="0" w:line="240" w:lineRule="auto"/>
    </w:pPr>
    <w:rPr>
      <w:rFonts w:ascii="Times New Roman" w:hAnsi="Times New Roman" w:cs="Times New Roman"/>
      <w:szCs w:val="20"/>
    </w:rPr>
  </w:style>
  <w:style w:type="paragraph" w:customStyle="1" w:styleId="Puntoelenco21">
    <w:name w:val="Punto elenco 21"/>
    <w:basedOn w:val="Normale"/>
    <w:pPr>
      <w:numPr>
        <w:numId w:val="2"/>
      </w:numPr>
      <w:suppressAutoHyphens w:val="0"/>
      <w:spacing w:after="0" w:line="240" w:lineRule="auto"/>
    </w:pPr>
    <w:rPr>
      <w:rFonts w:ascii="Times New Roman" w:hAnsi="Times New Roman" w:cs="Times New Roman"/>
      <w:szCs w:val="20"/>
    </w:rPr>
  </w:style>
  <w:style w:type="paragraph" w:customStyle="1" w:styleId="Puntoelenco31">
    <w:name w:val="Punto elenco 31"/>
    <w:basedOn w:val="Normale"/>
    <w:pPr>
      <w:numPr>
        <w:numId w:val="7"/>
      </w:numPr>
      <w:suppressAutoHyphens w:val="0"/>
      <w:spacing w:after="0" w:line="240" w:lineRule="auto"/>
    </w:pPr>
    <w:rPr>
      <w:rFonts w:ascii="Times New Roman" w:hAnsi="Times New Roman" w:cs="Times New Roman"/>
      <w:b/>
      <w:color w:val="000000"/>
      <w:sz w:val="32"/>
      <w:szCs w:val="20"/>
    </w:rPr>
  </w:style>
  <w:style w:type="paragraph" w:customStyle="1" w:styleId="Rientrocorpodeltesto21">
    <w:name w:val="Rientro corpo del testo 21"/>
    <w:basedOn w:val="Normale"/>
    <w:pPr>
      <w:widowControl w:val="0"/>
      <w:suppressAutoHyphens w:val="0"/>
      <w:overflowPunct w:val="0"/>
      <w:autoSpaceDE w:val="0"/>
      <w:spacing w:after="0" w:line="240" w:lineRule="auto"/>
      <w:ind w:left="357" w:hanging="357"/>
      <w:textAlignment w:val="baseline"/>
    </w:pPr>
    <w:rPr>
      <w:rFonts w:ascii="Times New Roman" w:hAnsi="Times New Roman" w:cs="Times New Roman"/>
      <w:szCs w:val="20"/>
    </w:rPr>
  </w:style>
  <w:style w:type="paragraph" w:customStyle="1" w:styleId="Rientrocorpodeltesto31">
    <w:name w:val="Rientro corpo del testo 31"/>
    <w:basedOn w:val="Normale"/>
    <w:pPr>
      <w:widowControl w:val="0"/>
      <w:suppressAutoHyphens w:val="0"/>
      <w:overflowPunct w:val="0"/>
      <w:autoSpaceDE w:val="0"/>
      <w:spacing w:after="0" w:line="240" w:lineRule="auto"/>
      <w:ind w:left="360" w:hanging="360"/>
      <w:textAlignment w:val="baseline"/>
    </w:pPr>
    <w:rPr>
      <w:rFonts w:ascii="Times New Roman" w:hAnsi="Times New Roman" w:cs="Times New Roman"/>
      <w:szCs w:val="20"/>
    </w:rPr>
  </w:style>
  <w:style w:type="paragraph" w:customStyle="1" w:styleId="Indent">
    <w:name w:val="Indent"/>
    <w:basedOn w:val="Normale"/>
    <w:pPr>
      <w:suppressAutoHyphens w:val="0"/>
      <w:spacing w:before="140" w:after="0" w:line="280" w:lineRule="exact"/>
      <w:ind w:left="960" w:hanging="251"/>
    </w:pPr>
    <w:rPr>
      <w:rFonts w:ascii="Times New Roman" w:hAnsi="Times New Roman" w:cs="Times New Roman"/>
      <w:i/>
      <w:iCs/>
      <w:kern w:val="2"/>
      <w:sz w:val="24"/>
      <w:szCs w:val="24"/>
      <w:lang w:val="en-US" w:bidi="he-IL"/>
    </w:rPr>
  </w:style>
  <w:style w:type="paragraph" w:customStyle="1" w:styleId="BulletedListundernumpara">
    <w:name w:val="Bulleted List under num para"/>
    <w:basedOn w:val="Normale"/>
    <w:pPr>
      <w:numPr>
        <w:numId w:val="6"/>
      </w:numPr>
      <w:suppressAutoHyphens w:val="0"/>
      <w:spacing w:before="120" w:after="0" w:line="280" w:lineRule="exact"/>
    </w:pPr>
    <w:rPr>
      <w:rFonts w:ascii="Times New Roman" w:hAnsi="Times New Roman" w:cs="Times New Roman"/>
      <w:sz w:val="24"/>
      <w:szCs w:val="24"/>
      <w:lang w:val="en-US"/>
    </w:rPr>
  </w:style>
  <w:style w:type="paragraph" w:customStyle="1" w:styleId="Govi">
    <w:name w:val="Gov (i)"/>
    <w:basedOn w:val="Normale"/>
    <w:pPr>
      <w:suppressAutoHyphens w:val="0"/>
      <w:snapToGrid w:val="0"/>
      <w:spacing w:after="0" w:line="280" w:lineRule="exact"/>
      <w:ind w:left="1620" w:hanging="540"/>
    </w:pPr>
    <w:rPr>
      <w:rFonts w:ascii="Times New Roman" w:hAnsi="Times New Roman" w:cs="Times New Roman"/>
      <w:kern w:val="2"/>
      <w:sz w:val="24"/>
      <w:szCs w:val="24"/>
      <w:lang w:val="en-US" w:bidi="he-IL"/>
    </w:rPr>
  </w:style>
  <w:style w:type="paragraph" w:customStyle="1" w:styleId="StyleHeading4Level2-aLevel2-a1Level2-a2Level2-a11">
    <w:name w:val="Style Heading 4Level 2 - aLevel 2 - a1Level 2 - a2Level 2 - a11..."/>
    <w:basedOn w:val="Titolo4"/>
    <w:pPr>
      <w:keepNext w:val="0"/>
      <w:keepLines w:val="0"/>
      <w:numPr>
        <w:ilvl w:val="0"/>
        <w:numId w:val="0"/>
      </w:numPr>
      <w:suppressAutoHyphens w:val="0"/>
      <w:spacing w:before="140"/>
    </w:pPr>
    <w:rPr>
      <w:rFonts w:ascii="Times New Roman" w:hAnsi="Times New Roman" w:cs="Times New Roman"/>
      <w:bCs w:val="0"/>
      <w:i w:val="0"/>
      <w:color w:val="000000"/>
      <w:sz w:val="24"/>
      <w:szCs w:val="20"/>
      <w:lang w:val="en-US"/>
    </w:rPr>
  </w:style>
  <w:style w:type="paragraph" w:customStyle="1" w:styleId="TableParagraph">
    <w:name w:val="Table Paragraph"/>
    <w:basedOn w:val="Normale"/>
    <w:pPr>
      <w:widowControl w:val="0"/>
      <w:suppressAutoHyphens w:val="0"/>
      <w:autoSpaceDE w:val="0"/>
      <w:spacing w:after="0" w:line="199" w:lineRule="exact"/>
    </w:pPr>
    <w:rPr>
      <w:rFonts w:ascii="Times New Roman" w:hAnsi="Times New Roman" w:cs="Times New Roman"/>
      <w:lang w:val="en-US"/>
    </w:rPr>
  </w:style>
  <w:style w:type="paragraph" w:customStyle="1" w:styleId="Titolo12">
    <w:name w:val="Titolo 12"/>
    <w:basedOn w:val="Normale"/>
    <w:next w:val="Normale"/>
    <w:pPr>
      <w:widowControl w:val="0"/>
      <w:autoSpaceDE w:val="0"/>
      <w:spacing w:after="0" w:line="240" w:lineRule="auto"/>
    </w:pPr>
    <w:rPr>
      <w:rFonts w:ascii="Times New Roman" w:eastAsia="SimSun" w:hAnsi="Times New Roman" w:cs="Mangal"/>
      <w:kern w:val="2"/>
      <w:sz w:val="24"/>
      <w:szCs w:val="24"/>
      <w:lang w:bidi="hi-IN"/>
    </w:rPr>
  </w:style>
  <w:style w:type="paragraph" w:customStyle="1" w:styleId="Didascalia8">
    <w:name w:val="Didascalia8"/>
    <w:basedOn w:val="Normale"/>
    <w:pPr>
      <w:spacing w:before="120" w:after="120" w:line="240" w:lineRule="auto"/>
    </w:pPr>
    <w:rPr>
      <w:rFonts w:ascii="Century Gothic" w:eastAsia="Mangal" w:hAnsi="Century Gothic" w:cs="Century Gothic"/>
      <w:i/>
      <w:iCs/>
      <w:kern w:val="2"/>
      <w:sz w:val="24"/>
      <w:szCs w:val="24"/>
    </w:rPr>
  </w:style>
  <w:style w:type="paragraph" w:customStyle="1" w:styleId="Titolo22">
    <w:name w:val="Titolo 22"/>
    <w:basedOn w:val="Normale"/>
    <w:next w:val="Normale"/>
    <w:pPr>
      <w:spacing w:before="440" w:after="60" w:line="200" w:lineRule="atLeast"/>
    </w:pPr>
    <w:rPr>
      <w:rFonts w:ascii="Arial" w:eastAsia="Arial" w:hAnsi="Arial" w:cs="Arial"/>
      <w:b/>
      <w:bCs/>
      <w:kern w:val="2"/>
      <w:sz w:val="28"/>
      <w:szCs w:val="24"/>
    </w:rPr>
  </w:style>
  <w:style w:type="paragraph" w:customStyle="1" w:styleId="Titolo32">
    <w:name w:val="Titolo 32"/>
    <w:basedOn w:val="Normale"/>
    <w:next w:val="Normale"/>
    <w:pPr>
      <w:spacing w:before="440" w:after="60" w:line="200" w:lineRule="atLeast"/>
    </w:pPr>
    <w:rPr>
      <w:rFonts w:ascii="Arial" w:eastAsia="Arial" w:hAnsi="Arial" w:cs="Arial"/>
      <w:b/>
      <w:bCs/>
      <w:kern w:val="2"/>
      <w:szCs w:val="24"/>
    </w:rPr>
  </w:style>
  <w:style w:type="paragraph" w:customStyle="1" w:styleId="Titolo42">
    <w:name w:val="Titolo 42"/>
    <w:basedOn w:val="Normale"/>
    <w:next w:val="Normale"/>
    <w:pPr>
      <w:spacing w:before="440" w:after="60" w:line="200" w:lineRule="atLeast"/>
    </w:pPr>
    <w:rPr>
      <w:rFonts w:ascii="Arial" w:eastAsia="Arial" w:hAnsi="Arial" w:cs="Arial"/>
      <w:b/>
      <w:bCs/>
      <w:kern w:val="2"/>
      <w:szCs w:val="24"/>
    </w:rPr>
  </w:style>
  <w:style w:type="paragraph" w:customStyle="1" w:styleId="Testodelblocco3">
    <w:name w:val="Testo del blocco3"/>
    <w:basedOn w:val="Normale"/>
    <w:next w:val="Normale"/>
    <w:pPr>
      <w:spacing w:after="120" w:line="200" w:lineRule="atLeast"/>
      <w:ind w:left="1440" w:right="1440"/>
    </w:pPr>
    <w:rPr>
      <w:rFonts w:ascii="Century Gothic" w:eastAsia="Century Gothic" w:hAnsi="Century Gothic" w:cs="Century Gothic"/>
      <w:kern w:val="2"/>
      <w:szCs w:val="20"/>
    </w:rPr>
  </w:style>
  <w:style w:type="paragraph" w:customStyle="1" w:styleId="Nessunaspaziatura2">
    <w:name w:val="Nessuna spaziatura2"/>
    <w:pPr>
      <w:widowControl w:val="0"/>
      <w:suppressAutoHyphens/>
      <w:autoSpaceDE w:val="0"/>
    </w:pPr>
    <w:rPr>
      <w:kern w:val="2"/>
      <w:sz w:val="24"/>
      <w:szCs w:val="24"/>
      <w:lang w:eastAsia="zh-CN" w:bidi="hi-IN"/>
    </w:rPr>
  </w:style>
  <w:style w:type="paragraph" w:customStyle="1" w:styleId="Testonormale3">
    <w:name w:val="Testo normale3"/>
    <w:basedOn w:val="Normale"/>
    <w:next w:val="Normale"/>
    <w:pPr>
      <w:spacing w:after="0" w:line="200" w:lineRule="atLeast"/>
    </w:pPr>
    <w:rPr>
      <w:rFonts w:ascii="Courier New" w:eastAsia="Courier New" w:hAnsi="Courier New" w:cs="Courier New"/>
      <w:kern w:val="2"/>
      <w:szCs w:val="24"/>
    </w:rPr>
  </w:style>
  <w:style w:type="paragraph" w:customStyle="1" w:styleId="Intestazione8">
    <w:name w:val="Intestazione8"/>
    <w:basedOn w:val="Normale"/>
    <w:pPr>
      <w:spacing w:after="0" w:line="240" w:lineRule="auto"/>
    </w:pPr>
    <w:rPr>
      <w:rFonts w:ascii="Times New Roman" w:hAnsi="Times New Roman" w:cs="Times New Roman"/>
      <w:kern w:val="2"/>
      <w:szCs w:val="24"/>
    </w:rPr>
  </w:style>
  <w:style w:type="paragraph" w:customStyle="1" w:styleId="Paragrafoelenco3">
    <w:name w:val="Paragrafo elenco3"/>
    <w:basedOn w:val="Normale"/>
    <w:pPr>
      <w:spacing w:after="0" w:line="240" w:lineRule="auto"/>
    </w:pPr>
    <w:rPr>
      <w:rFonts w:eastAsia="Calibri"/>
      <w:kern w:val="2"/>
      <w:szCs w:val="24"/>
    </w:rPr>
  </w:style>
  <w:style w:type="paragraph" w:customStyle="1" w:styleId="Paragrafo">
    <w:name w:val="Paragrafo"/>
    <w:basedOn w:val="Normale"/>
    <w:pPr>
      <w:suppressAutoHyphens w:val="0"/>
      <w:spacing w:before="720" w:after="920"/>
    </w:pPr>
    <w:rPr>
      <w:rFonts w:eastAsia="Calibri" w:cs="Tahoma"/>
      <w:bCs/>
      <w:sz w:val="28"/>
      <w:szCs w:val="24"/>
    </w:rPr>
  </w:style>
  <w:style w:type="paragraph" w:customStyle="1" w:styleId="Titolo13">
    <w:name w:val="Titolo_1"/>
    <w:basedOn w:val="Normale"/>
    <w:pPr>
      <w:suppressAutoHyphens w:val="0"/>
      <w:autoSpaceDE w:val="0"/>
      <w:spacing w:after="0" w:line="240" w:lineRule="auto"/>
      <w:jc w:val="center"/>
    </w:pPr>
    <w:rPr>
      <w:rFonts w:eastAsia="Calibri" w:cs="Tahoma"/>
      <w:b/>
      <w:bCs/>
      <w:sz w:val="36"/>
      <w:szCs w:val="36"/>
    </w:rPr>
  </w:style>
  <w:style w:type="paragraph" w:customStyle="1" w:styleId="Elencoabcd">
    <w:name w:val="Elenco a b c d"/>
    <w:pPr>
      <w:suppressAutoHyphens/>
    </w:pPr>
    <w:rPr>
      <w:rFonts w:ascii="Calibri" w:eastAsia="Calibri" w:hAnsi="Calibri" w:cs="Calibri"/>
      <w:color w:val="000000"/>
      <w:sz w:val="24"/>
      <w:szCs w:val="24"/>
      <w:lang w:eastAsia="zh-CN"/>
    </w:rPr>
  </w:style>
  <w:style w:type="paragraph" w:customStyle="1" w:styleId="Sottoparagrafo">
    <w:name w:val="Sottoparagrafo"/>
    <w:basedOn w:val="Normale"/>
    <w:pPr>
      <w:suppressAutoHyphens w:val="0"/>
      <w:autoSpaceDE w:val="0"/>
      <w:spacing w:before="360" w:after="360" w:line="240" w:lineRule="auto"/>
      <w:ind w:left="284" w:hanging="284"/>
    </w:pPr>
    <w:rPr>
      <w:rFonts w:eastAsia="Calibri" w:cs="Tahoma"/>
      <w:b/>
      <w:bCs/>
      <w:i/>
      <w:color w:val="000000"/>
      <w:szCs w:val="24"/>
    </w:rPr>
  </w:style>
  <w:style w:type="paragraph" w:customStyle="1" w:styleId="4BC8582F925C44688E6963A65CE800A2">
    <w:name w:val="4BC8582F925C44688E6963A65CE800A2"/>
    <w:pPr>
      <w:suppressAutoHyphens/>
      <w:spacing w:after="200" w:line="276" w:lineRule="auto"/>
    </w:pPr>
    <w:rPr>
      <w:rFonts w:ascii="Calibri" w:hAnsi="Calibri" w:cs="Calibri"/>
      <w:sz w:val="22"/>
      <w:szCs w:val="22"/>
      <w:lang w:eastAsia="zh-CN"/>
    </w:rPr>
  </w:style>
  <w:style w:type="paragraph" w:customStyle="1" w:styleId="CM5">
    <w:name w:val="CM5"/>
    <w:basedOn w:val="Default"/>
    <w:next w:val="Default"/>
    <w:pPr>
      <w:suppressAutoHyphens w:val="0"/>
      <w:spacing w:after="298"/>
    </w:pPr>
    <w:rPr>
      <w:rFonts w:ascii="Book Antiqua" w:eastAsia="SimSun" w:hAnsi="Book Antiqua" w:cs="Book Antiqua"/>
    </w:rPr>
  </w:style>
  <w:style w:type="paragraph" w:customStyle="1" w:styleId="CM6">
    <w:name w:val="CM6"/>
    <w:basedOn w:val="Default"/>
    <w:next w:val="Default"/>
    <w:pPr>
      <w:suppressAutoHyphens w:val="0"/>
      <w:spacing w:after="598"/>
    </w:pPr>
    <w:rPr>
      <w:rFonts w:ascii="Book Antiqua" w:eastAsia="SimSun" w:hAnsi="Book Antiqua" w:cs="Book Antiqua"/>
    </w:rPr>
  </w:style>
  <w:style w:type="paragraph" w:customStyle="1" w:styleId="Pa4">
    <w:name w:val="Pa4"/>
    <w:basedOn w:val="Default"/>
    <w:next w:val="Default"/>
    <w:pPr>
      <w:widowControl/>
      <w:suppressAutoHyphens w:val="0"/>
      <w:spacing w:line="241" w:lineRule="atLeast"/>
    </w:pPr>
    <w:rPr>
      <w:rFonts w:ascii="Amasis MT" w:eastAsia="Calibri" w:hAnsi="Amasis MT" w:cs="Amasis MT"/>
    </w:rPr>
  </w:style>
  <w:style w:type="paragraph" w:customStyle="1" w:styleId="Pa8">
    <w:name w:val="Pa8"/>
    <w:basedOn w:val="Default"/>
    <w:next w:val="Default"/>
    <w:pPr>
      <w:widowControl/>
      <w:suppressAutoHyphens w:val="0"/>
      <w:spacing w:line="361" w:lineRule="atLeast"/>
    </w:pPr>
    <w:rPr>
      <w:rFonts w:ascii="GoodPro-WideBlack" w:eastAsia="Calibri" w:hAnsi="GoodPro-WideBlack" w:cs="GoodPro-WideBlack"/>
    </w:rPr>
  </w:style>
  <w:style w:type="paragraph" w:customStyle="1" w:styleId="Pa1">
    <w:name w:val="Pa1"/>
    <w:basedOn w:val="Default"/>
    <w:next w:val="Default"/>
    <w:pPr>
      <w:widowControl/>
      <w:suppressAutoHyphens w:val="0"/>
      <w:spacing w:line="241" w:lineRule="atLeast"/>
    </w:pPr>
    <w:rPr>
      <w:rFonts w:ascii="GoodPro-WideBlack" w:eastAsia="Calibri" w:hAnsi="GoodPro-WideBlack" w:cs="GoodPro-WideBlack"/>
    </w:rPr>
  </w:style>
  <w:style w:type="paragraph" w:customStyle="1" w:styleId="Pa9">
    <w:name w:val="Pa9"/>
    <w:basedOn w:val="Default"/>
    <w:next w:val="Default"/>
    <w:pPr>
      <w:widowControl/>
      <w:suppressAutoHyphens w:val="0"/>
      <w:spacing w:line="241" w:lineRule="atLeast"/>
    </w:pPr>
    <w:rPr>
      <w:rFonts w:ascii="Amasis MT" w:eastAsia="Calibri" w:hAnsi="Amasis MT" w:cs="Amasis MT"/>
    </w:rPr>
  </w:style>
  <w:style w:type="paragraph" w:customStyle="1" w:styleId="CoverTitle">
    <w:name w:val="CoverTitle"/>
    <w:basedOn w:val="Default"/>
    <w:next w:val="Default"/>
    <w:pPr>
      <w:widowControl/>
      <w:suppressAutoHyphens w:val="0"/>
    </w:pPr>
    <w:rPr>
      <w:rFonts w:ascii="Arial" w:eastAsia="Calibri" w:hAnsi="Arial" w:cs="Arial"/>
    </w:rPr>
  </w:style>
  <w:style w:type="paragraph" w:customStyle="1" w:styleId="Pa13">
    <w:name w:val="Pa13"/>
    <w:basedOn w:val="Default"/>
    <w:next w:val="Default"/>
    <w:pPr>
      <w:widowControl/>
      <w:suppressAutoHyphens w:val="0"/>
      <w:spacing w:line="166" w:lineRule="atLeast"/>
    </w:pPr>
    <w:rPr>
      <w:rFonts w:ascii="FS Lola" w:eastAsia="Calibri" w:hAnsi="FS Lola" w:cs="FS Lola"/>
    </w:rPr>
  </w:style>
  <w:style w:type="paragraph" w:customStyle="1" w:styleId="paragraph">
    <w:name w:val="paragraph"/>
    <w:basedOn w:val="Normale"/>
    <w:pPr>
      <w:suppressAutoHyphens w:val="0"/>
      <w:spacing w:before="280" w:after="280" w:line="240" w:lineRule="auto"/>
    </w:pPr>
    <w:rPr>
      <w:rFonts w:ascii="Times New Roman" w:hAnsi="Times New Roman" w:cs="Times New Roman"/>
      <w:sz w:val="24"/>
      <w:szCs w:val="24"/>
    </w:rPr>
  </w:style>
  <w:style w:type="paragraph" w:customStyle="1" w:styleId="Testocommento3">
    <w:name w:val="Testo commento3"/>
    <w:basedOn w:val="Normale"/>
    <w:rPr>
      <w:szCs w:val="20"/>
    </w:rPr>
  </w:style>
  <w:style w:type="paragraph" w:customStyle="1" w:styleId="Testocommento4">
    <w:name w:val="Testo commento4"/>
    <w:basedOn w:val="Normale"/>
    <w:rPr>
      <w:szCs w:val="20"/>
    </w:rPr>
  </w:style>
  <w:style w:type="paragraph" w:customStyle="1" w:styleId="Rientrocorpodeltesto23">
    <w:name w:val="Rientro corpo del testo 23"/>
    <w:basedOn w:val="Normale"/>
    <w:pPr>
      <w:suppressAutoHyphens w:val="0"/>
      <w:spacing w:after="0" w:line="240" w:lineRule="auto"/>
      <w:ind w:firstLine="708"/>
    </w:pPr>
    <w:rPr>
      <w:rFonts w:ascii="Times New Roman" w:hAnsi="Times New Roman" w:cs="Times New Roman"/>
      <w:sz w:val="24"/>
      <w:szCs w:val="24"/>
      <w:lang w:val="x-none"/>
    </w:rPr>
  </w:style>
  <w:style w:type="paragraph" w:customStyle="1" w:styleId="Corpodeltesto32">
    <w:name w:val="Corpo del testo 32"/>
    <w:basedOn w:val="Normale"/>
    <w:pPr>
      <w:suppressAutoHyphens w:val="0"/>
      <w:spacing w:after="120"/>
    </w:pPr>
    <w:rPr>
      <w:rFonts w:ascii="Times New Roman" w:hAnsi="Times New Roman" w:cs="Times New Roman"/>
      <w:i/>
      <w:color w:val="0000FF"/>
      <w:sz w:val="24"/>
      <w:szCs w:val="24"/>
      <w:lang w:val="x-none"/>
    </w:rPr>
  </w:style>
  <w:style w:type="paragraph" w:customStyle="1" w:styleId="Corpodeltesto23">
    <w:name w:val="Corpo del testo 23"/>
    <w:basedOn w:val="Normale"/>
    <w:pPr>
      <w:suppressAutoHyphens w:val="0"/>
      <w:spacing w:after="120" w:line="480" w:lineRule="auto"/>
    </w:pPr>
    <w:rPr>
      <w:rFonts w:ascii="Calibri" w:hAnsi="Calibri" w:cs="Times New Roman"/>
      <w:sz w:val="22"/>
      <w:lang w:val="x-none"/>
    </w:rPr>
  </w:style>
  <w:style w:type="paragraph" w:customStyle="1" w:styleId="txt">
    <w:name w:val="txt"/>
    <w:basedOn w:val="Normale"/>
    <w:pPr>
      <w:suppressAutoHyphens w:val="0"/>
      <w:spacing w:before="280" w:after="280" w:line="240" w:lineRule="auto"/>
    </w:pPr>
    <w:rPr>
      <w:rFonts w:ascii="Times New Roman" w:hAnsi="Times New Roman" w:cs="Times New Roman"/>
      <w:sz w:val="24"/>
      <w:szCs w:val="24"/>
    </w:rPr>
  </w:style>
  <w:style w:type="paragraph" w:customStyle="1" w:styleId="Testocommento5">
    <w:name w:val="Testo commento5"/>
    <w:basedOn w:val="Normale"/>
    <w:pPr>
      <w:suppressAutoHyphens w:val="0"/>
      <w:spacing w:line="240" w:lineRule="auto"/>
    </w:pPr>
    <w:rPr>
      <w:rFonts w:ascii="Times New Roman" w:hAnsi="Times New Roman" w:cs="Times New Roman"/>
      <w:szCs w:val="20"/>
    </w:rPr>
  </w:style>
  <w:style w:type="paragraph" w:customStyle="1" w:styleId="m-5480625077308327000gmail-msolistparagraph">
    <w:name w:val="m_-5480625077308327000gmail-msolistparagraph"/>
    <w:basedOn w:val="Normale"/>
    <w:pPr>
      <w:suppressAutoHyphens w:val="0"/>
      <w:spacing w:before="280" w:after="280" w:line="240" w:lineRule="auto"/>
    </w:pPr>
    <w:rPr>
      <w:rFonts w:ascii="Times New Roman" w:hAnsi="Times New Roman" w:cs="Times New Roman"/>
      <w:sz w:val="24"/>
      <w:szCs w:val="24"/>
    </w:rPr>
  </w:style>
  <w:style w:type="paragraph" w:customStyle="1" w:styleId="txtgrafcen">
    <w:name w:val="txt graf cen"/>
    <w:basedOn w:val="Normale"/>
    <w:pPr>
      <w:widowControl w:val="0"/>
      <w:suppressAutoHyphens w:val="0"/>
      <w:spacing w:before="20" w:after="20" w:line="170" w:lineRule="atLeast"/>
      <w:jc w:val="center"/>
    </w:pPr>
    <w:rPr>
      <w:rFonts w:ascii="Arial" w:hAnsi="Arial" w:cs="Times New Roman"/>
      <w:sz w:val="15"/>
      <w:szCs w:val="20"/>
    </w:rPr>
  </w:style>
  <w:style w:type="paragraph" w:customStyle="1" w:styleId="Textbody">
    <w:name w:val="Text body"/>
    <w:basedOn w:val="Standard"/>
    <w:pPr>
      <w:spacing w:after="120"/>
    </w:pPr>
  </w:style>
  <w:style w:type="paragraph" w:customStyle="1" w:styleId="paragrafoelenco0">
    <w:name w:val="paragrafoelenco"/>
    <w:basedOn w:val="Normale"/>
    <w:pPr>
      <w:suppressAutoHyphens w:val="0"/>
      <w:spacing w:before="100" w:after="100" w:line="240" w:lineRule="auto"/>
      <w:jc w:val="left"/>
    </w:pPr>
    <w:rPr>
      <w:rFonts w:ascii="Times New Roman" w:hAnsi="Times New Roman" w:cs="Times New Roman"/>
      <w:sz w:val="24"/>
      <w:szCs w:val="24"/>
    </w:rPr>
  </w:style>
  <w:style w:type="paragraph" w:customStyle="1" w:styleId="Didascalia14">
    <w:name w:val="Didascalia14"/>
    <w:basedOn w:val="Normale"/>
    <w:pPr>
      <w:suppressLineNumbers/>
      <w:spacing w:before="120" w:after="120"/>
    </w:pPr>
    <w:rPr>
      <w:rFonts w:ascii="Times New Roman" w:hAnsi="Times New Roman" w:cs="Tahoma"/>
      <w:i/>
      <w:iCs/>
      <w:sz w:val="24"/>
      <w:szCs w:val="24"/>
    </w:rPr>
  </w:style>
  <w:style w:type="paragraph" w:customStyle="1" w:styleId="TableContents">
    <w:name w:val="Table Contents"/>
    <w:basedOn w:val="Normale"/>
    <w:pPr>
      <w:suppressLineNumbers/>
    </w:pPr>
    <w:rPr>
      <w:rFonts w:ascii="Times New Roman" w:hAnsi="Times New Roman" w:cs="Times New Roman"/>
      <w:szCs w:val="20"/>
    </w:rPr>
  </w:style>
  <w:style w:type="paragraph" w:customStyle="1" w:styleId="TableHeading">
    <w:name w:val="Table Heading"/>
    <w:basedOn w:val="TableContents"/>
    <w:pPr>
      <w:jc w:val="center"/>
    </w:pPr>
    <w:rPr>
      <w:b/>
      <w:bCs/>
    </w:rPr>
  </w:style>
  <w:style w:type="paragraph" w:customStyle="1" w:styleId="Normale11">
    <w:name w:val="Normale11"/>
    <w:basedOn w:val="Default"/>
    <w:next w:val="Default"/>
    <w:pPr>
      <w:widowControl/>
      <w:spacing w:after="0"/>
      <w:jc w:val="left"/>
    </w:pPr>
    <w:rPr>
      <w:rFonts w:eastAsia="Lucida Sans Unicode" w:cs="Tahoma"/>
      <w:color w:val="auto"/>
    </w:rPr>
  </w:style>
  <w:style w:type="paragraph" w:customStyle="1" w:styleId="Corpodeltesto1">
    <w:name w:val="Corpo del testo1"/>
    <w:basedOn w:val="Default"/>
    <w:next w:val="Default"/>
    <w:pPr>
      <w:widowControl/>
      <w:spacing w:before="240" w:after="0"/>
      <w:jc w:val="left"/>
    </w:pPr>
    <w:rPr>
      <w:rFonts w:eastAsia="Lucida Sans Unicode" w:cs="Tahoma"/>
      <w:color w:val="auto"/>
    </w:rPr>
  </w:style>
  <w:style w:type="paragraph" w:customStyle="1" w:styleId="Titolo51">
    <w:name w:val="Titolo 51"/>
    <w:basedOn w:val="Default"/>
    <w:next w:val="Default"/>
    <w:pPr>
      <w:widowControl/>
      <w:spacing w:before="240" w:after="0"/>
      <w:jc w:val="left"/>
    </w:pPr>
    <w:rPr>
      <w:rFonts w:eastAsia="Lucida Sans Unicode" w:cs="Tahoma"/>
      <w:color w:val="auto"/>
    </w:rPr>
  </w:style>
  <w:style w:type="paragraph" w:customStyle="1" w:styleId="CM70">
    <w:name w:val="CM70"/>
    <w:basedOn w:val="Default"/>
    <w:next w:val="Default"/>
    <w:pPr>
      <w:widowControl/>
      <w:spacing w:after="210"/>
      <w:jc w:val="left"/>
    </w:pPr>
    <w:rPr>
      <w:rFonts w:eastAsia="Lucida Sans Unicode" w:cs="Tahoma"/>
      <w:color w:val="auto"/>
    </w:rPr>
  </w:style>
  <w:style w:type="paragraph" w:customStyle="1" w:styleId="CM72">
    <w:name w:val="CM72"/>
    <w:basedOn w:val="Default"/>
    <w:next w:val="Default"/>
    <w:pPr>
      <w:widowControl/>
      <w:spacing w:after="848"/>
      <w:jc w:val="left"/>
    </w:pPr>
    <w:rPr>
      <w:rFonts w:eastAsia="Lucida Sans Unicode" w:cs="Tahoma"/>
      <w:color w:val="auto"/>
    </w:rPr>
  </w:style>
  <w:style w:type="paragraph" w:customStyle="1" w:styleId="CM20">
    <w:name w:val="CM20"/>
    <w:basedOn w:val="Default"/>
    <w:next w:val="Default"/>
    <w:pPr>
      <w:widowControl/>
      <w:spacing w:line="231" w:lineRule="atLeast"/>
      <w:jc w:val="left"/>
    </w:pPr>
    <w:rPr>
      <w:rFonts w:eastAsia="Lucida Sans Unicode" w:cs="Tahoma"/>
      <w:color w:val="auto"/>
    </w:rPr>
  </w:style>
  <w:style w:type="paragraph" w:customStyle="1" w:styleId="CM103">
    <w:name w:val="CM103"/>
    <w:basedOn w:val="Default"/>
    <w:next w:val="Default"/>
    <w:pPr>
      <w:widowControl/>
      <w:spacing w:after="605"/>
      <w:jc w:val="left"/>
    </w:pPr>
    <w:rPr>
      <w:rFonts w:eastAsia="Lucida Sans Unicode" w:cs="Tahoma"/>
      <w:color w:val="auto"/>
    </w:rPr>
  </w:style>
  <w:style w:type="paragraph" w:customStyle="1" w:styleId="CM74">
    <w:name w:val="CM74"/>
    <w:basedOn w:val="Default"/>
    <w:next w:val="Default"/>
    <w:pPr>
      <w:widowControl/>
      <w:spacing w:after="1133"/>
      <w:jc w:val="left"/>
    </w:pPr>
    <w:rPr>
      <w:rFonts w:eastAsia="Lucida Sans Unicode" w:cs="Tahoma"/>
      <w:color w:val="auto"/>
    </w:rPr>
  </w:style>
  <w:style w:type="paragraph" w:customStyle="1" w:styleId="CM75">
    <w:name w:val="CM75"/>
    <w:basedOn w:val="Default"/>
    <w:next w:val="Default"/>
    <w:pPr>
      <w:widowControl/>
      <w:spacing w:after="113"/>
      <w:jc w:val="left"/>
    </w:pPr>
    <w:rPr>
      <w:rFonts w:eastAsia="Lucida Sans Unicode" w:cs="Tahoma"/>
      <w:color w:val="auto"/>
    </w:rPr>
  </w:style>
  <w:style w:type="paragraph" w:customStyle="1" w:styleId="CM7">
    <w:name w:val="CM7"/>
    <w:basedOn w:val="Default"/>
    <w:next w:val="Default"/>
    <w:pPr>
      <w:widowControl/>
      <w:spacing w:line="300" w:lineRule="atLeast"/>
      <w:jc w:val="left"/>
    </w:pPr>
    <w:rPr>
      <w:rFonts w:eastAsia="Lucida Sans Unicode" w:cs="Tahoma"/>
      <w:color w:val="auto"/>
    </w:rPr>
  </w:style>
  <w:style w:type="paragraph" w:customStyle="1" w:styleId="CM8">
    <w:name w:val="CM8"/>
    <w:basedOn w:val="Default"/>
    <w:next w:val="Default"/>
    <w:pPr>
      <w:widowControl/>
      <w:spacing w:line="300" w:lineRule="atLeast"/>
      <w:jc w:val="left"/>
    </w:pPr>
    <w:rPr>
      <w:rFonts w:eastAsia="Lucida Sans Unicode" w:cs="Tahoma"/>
      <w:color w:val="auto"/>
    </w:rPr>
  </w:style>
  <w:style w:type="paragraph" w:customStyle="1" w:styleId="CM9">
    <w:name w:val="CM9"/>
    <w:basedOn w:val="Default"/>
    <w:next w:val="Default"/>
    <w:pPr>
      <w:widowControl/>
      <w:spacing w:line="300" w:lineRule="atLeast"/>
      <w:jc w:val="left"/>
    </w:pPr>
    <w:rPr>
      <w:rFonts w:eastAsia="Lucida Sans Unicode" w:cs="Tahoma"/>
      <w:color w:val="auto"/>
    </w:rPr>
  </w:style>
  <w:style w:type="paragraph" w:customStyle="1" w:styleId="CM10">
    <w:name w:val="CM10"/>
    <w:basedOn w:val="Default"/>
    <w:next w:val="Default"/>
    <w:pPr>
      <w:widowControl/>
      <w:spacing w:line="300" w:lineRule="atLeast"/>
      <w:jc w:val="left"/>
    </w:pPr>
    <w:rPr>
      <w:rFonts w:eastAsia="Lucida Sans Unicode" w:cs="Tahoma"/>
      <w:color w:val="auto"/>
    </w:rPr>
  </w:style>
  <w:style w:type="paragraph" w:customStyle="1" w:styleId="CM11">
    <w:name w:val="CM11"/>
    <w:basedOn w:val="Default"/>
    <w:next w:val="Default"/>
    <w:pPr>
      <w:widowControl/>
      <w:spacing w:line="313" w:lineRule="atLeast"/>
      <w:jc w:val="left"/>
    </w:pPr>
    <w:rPr>
      <w:rFonts w:eastAsia="Lucida Sans Unicode" w:cs="Tahoma"/>
      <w:color w:val="auto"/>
    </w:rPr>
  </w:style>
  <w:style w:type="paragraph" w:customStyle="1" w:styleId="CM12">
    <w:name w:val="CM12"/>
    <w:basedOn w:val="Default"/>
    <w:next w:val="Default"/>
    <w:pPr>
      <w:widowControl/>
      <w:spacing w:line="300" w:lineRule="atLeast"/>
      <w:jc w:val="left"/>
    </w:pPr>
    <w:rPr>
      <w:rFonts w:eastAsia="Lucida Sans Unicode" w:cs="Tahoma"/>
      <w:color w:val="auto"/>
    </w:rPr>
  </w:style>
  <w:style w:type="paragraph" w:customStyle="1" w:styleId="CM13">
    <w:name w:val="CM13"/>
    <w:basedOn w:val="Default"/>
    <w:next w:val="Default"/>
    <w:pPr>
      <w:widowControl/>
      <w:jc w:val="left"/>
    </w:pPr>
    <w:rPr>
      <w:rFonts w:eastAsia="Lucida Sans Unicode" w:cs="Tahoma"/>
      <w:color w:val="auto"/>
    </w:rPr>
  </w:style>
  <w:style w:type="paragraph" w:customStyle="1" w:styleId="CM76">
    <w:name w:val="CM76"/>
    <w:basedOn w:val="Default"/>
    <w:next w:val="Default"/>
    <w:pPr>
      <w:widowControl/>
      <w:spacing w:after="738"/>
      <w:jc w:val="left"/>
    </w:pPr>
    <w:rPr>
      <w:rFonts w:eastAsia="Lucida Sans Unicode" w:cs="Tahoma"/>
      <w:color w:val="auto"/>
    </w:rPr>
  </w:style>
  <w:style w:type="paragraph" w:customStyle="1" w:styleId="CM14">
    <w:name w:val="CM14"/>
    <w:basedOn w:val="Default"/>
    <w:next w:val="Default"/>
    <w:pPr>
      <w:widowControl/>
      <w:spacing w:line="300" w:lineRule="atLeast"/>
      <w:jc w:val="left"/>
    </w:pPr>
    <w:rPr>
      <w:rFonts w:eastAsia="Lucida Sans Unicode" w:cs="Tahoma"/>
      <w:color w:val="auto"/>
    </w:rPr>
  </w:style>
  <w:style w:type="paragraph" w:customStyle="1" w:styleId="CM71">
    <w:name w:val="CM71"/>
    <w:basedOn w:val="Default"/>
    <w:next w:val="Default"/>
    <w:pPr>
      <w:widowControl/>
      <w:spacing w:after="293"/>
      <w:jc w:val="left"/>
    </w:pPr>
    <w:rPr>
      <w:rFonts w:eastAsia="Lucida Sans Unicode" w:cs="Tahoma"/>
      <w:color w:val="auto"/>
    </w:rPr>
  </w:style>
  <w:style w:type="paragraph" w:customStyle="1" w:styleId="CM15">
    <w:name w:val="CM15"/>
    <w:basedOn w:val="Default"/>
    <w:next w:val="Default"/>
    <w:pPr>
      <w:widowControl/>
      <w:spacing w:line="276" w:lineRule="atLeast"/>
      <w:jc w:val="left"/>
    </w:pPr>
    <w:rPr>
      <w:rFonts w:eastAsia="Lucida Sans Unicode" w:cs="Tahoma"/>
      <w:color w:val="auto"/>
    </w:rPr>
  </w:style>
  <w:style w:type="paragraph" w:customStyle="1" w:styleId="CM16">
    <w:name w:val="CM16"/>
    <w:basedOn w:val="Default"/>
    <w:next w:val="Default"/>
    <w:pPr>
      <w:widowControl/>
      <w:spacing w:line="296" w:lineRule="atLeast"/>
      <w:jc w:val="left"/>
    </w:pPr>
    <w:rPr>
      <w:rFonts w:eastAsia="Lucida Sans Unicode" w:cs="Tahoma"/>
      <w:color w:val="auto"/>
    </w:rPr>
  </w:style>
  <w:style w:type="paragraph" w:customStyle="1" w:styleId="CM17">
    <w:name w:val="CM17"/>
    <w:basedOn w:val="Default"/>
    <w:next w:val="Default"/>
    <w:pPr>
      <w:widowControl/>
      <w:spacing w:line="300" w:lineRule="atLeast"/>
      <w:jc w:val="left"/>
    </w:pPr>
    <w:rPr>
      <w:rFonts w:eastAsia="Lucida Sans Unicode" w:cs="Tahoma"/>
      <w:color w:val="auto"/>
    </w:rPr>
  </w:style>
  <w:style w:type="paragraph" w:customStyle="1" w:styleId="CM73">
    <w:name w:val="CM73"/>
    <w:basedOn w:val="Default"/>
    <w:next w:val="Default"/>
    <w:pPr>
      <w:widowControl/>
      <w:spacing w:after="660"/>
      <w:jc w:val="left"/>
    </w:pPr>
    <w:rPr>
      <w:rFonts w:eastAsia="Lucida Sans Unicode" w:cs="Tahoma"/>
      <w:color w:val="auto"/>
    </w:rPr>
  </w:style>
  <w:style w:type="paragraph" w:customStyle="1" w:styleId="CM19">
    <w:name w:val="CM19"/>
    <w:basedOn w:val="Default"/>
    <w:next w:val="Default"/>
    <w:pPr>
      <w:widowControl/>
      <w:jc w:val="left"/>
    </w:pPr>
    <w:rPr>
      <w:rFonts w:eastAsia="Lucida Sans Unicode" w:cs="Tahoma"/>
      <w:color w:val="auto"/>
    </w:rPr>
  </w:style>
  <w:style w:type="paragraph" w:customStyle="1" w:styleId="CM79">
    <w:name w:val="CM79"/>
    <w:basedOn w:val="Default"/>
    <w:next w:val="Default"/>
    <w:pPr>
      <w:widowControl/>
      <w:spacing w:after="1015"/>
      <w:jc w:val="left"/>
    </w:pPr>
    <w:rPr>
      <w:rFonts w:eastAsia="Lucida Sans Unicode" w:cs="Tahoma"/>
      <w:color w:val="auto"/>
    </w:rPr>
  </w:style>
  <w:style w:type="paragraph" w:customStyle="1" w:styleId="CM21">
    <w:name w:val="CM21"/>
    <w:basedOn w:val="Default"/>
    <w:next w:val="Default"/>
    <w:pPr>
      <w:widowControl/>
      <w:spacing w:line="276" w:lineRule="atLeast"/>
      <w:jc w:val="left"/>
    </w:pPr>
    <w:rPr>
      <w:rFonts w:eastAsia="Lucida Sans Unicode" w:cs="Tahoma"/>
      <w:color w:val="auto"/>
    </w:rPr>
  </w:style>
  <w:style w:type="paragraph" w:customStyle="1" w:styleId="CM80">
    <w:name w:val="CM80"/>
    <w:basedOn w:val="Default"/>
    <w:next w:val="Default"/>
    <w:pPr>
      <w:widowControl/>
      <w:spacing w:after="140"/>
      <w:jc w:val="left"/>
    </w:pPr>
    <w:rPr>
      <w:rFonts w:eastAsia="Lucida Sans Unicode" w:cs="Tahoma"/>
      <w:color w:val="auto"/>
    </w:rPr>
  </w:style>
  <w:style w:type="paragraph" w:customStyle="1" w:styleId="CM22">
    <w:name w:val="CM22"/>
    <w:basedOn w:val="Default"/>
    <w:next w:val="Default"/>
    <w:pPr>
      <w:widowControl/>
      <w:spacing w:line="231" w:lineRule="atLeast"/>
      <w:jc w:val="left"/>
    </w:pPr>
    <w:rPr>
      <w:rFonts w:eastAsia="Lucida Sans Unicode" w:cs="Tahoma"/>
      <w:color w:val="auto"/>
    </w:rPr>
  </w:style>
  <w:style w:type="paragraph" w:customStyle="1" w:styleId="CM23">
    <w:name w:val="CM23"/>
    <w:basedOn w:val="Default"/>
    <w:next w:val="Default"/>
    <w:pPr>
      <w:widowControl/>
      <w:spacing w:line="300" w:lineRule="atLeast"/>
      <w:jc w:val="left"/>
    </w:pPr>
    <w:rPr>
      <w:rFonts w:eastAsia="Lucida Sans Unicode" w:cs="Tahoma"/>
      <w:color w:val="auto"/>
    </w:rPr>
  </w:style>
  <w:style w:type="paragraph" w:customStyle="1" w:styleId="CM24">
    <w:name w:val="CM24"/>
    <w:basedOn w:val="Default"/>
    <w:next w:val="Default"/>
    <w:pPr>
      <w:widowControl/>
      <w:spacing w:line="286" w:lineRule="atLeast"/>
      <w:jc w:val="left"/>
    </w:pPr>
    <w:rPr>
      <w:rFonts w:eastAsia="Lucida Sans Unicode" w:cs="Tahoma"/>
      <w:color w:val="auto"/>
    </w:rPr>
  </w:style>
  <w:style w:type="paragraph" w:customStyle="1" w:styleId="CM25">
    <w:name w:val="CM25"/>
    <w:basedOn w:val="Default"/>
    <w:next w:val="Default"/>
    <w:pPr>
      <w:widowControl/>
      <w:spacing w:line="276" w:lineRule="atLeast"/>
      <w:jc w:val="left"/>
    </w:pPr>
    <w:rPr>
      <w:rFonts w:eastAsia="Lucida Sans Unicode" w:cs="Tahoma"/>
      <w:color w:val="auto"/>
    </w:rPr>
  </w:style>
  <w:style w:type="paragraph" w:customStyle="1" w:styleId="CM26">
    <w:name w:val="CM26"/>
    <w:basedOn w:val="Default"/>
    <w:next w:val="Default"/>
    <w:pPr>
      <w:widowControl/>
      <w:spacing w:line="276" w:lineRule="atLeast"/>
      <w:jc w:val="left"/>
    </w:pPr>
    <w:rPr>
      <w:rFonts w:eastAsia="Lucida Sans Unicode" w:cs="Tahoma"/>
      <w:color w:val="auto"/>
    </w:rPr>
  </w:style>
  <w:style w:type="paragraph" w:customStyle="1" w:styleId="CM27">
    <w:name w:val="CM27"/>
    <w:basedOn w:val="Default"/>
    <w:next w:val="Default"/>
    <w:pPr>
      <w:widowControl/>
      <w:spacing w:line="231" w:lineRule="atLeast"/>
      <w:jc w:val="left"/>
    </w:pPr>
    <w:rPr>
      <w:rFonts w:eastAsia="Lucida Sans Unicode" w:cs="Tahoma"/>
      <w:color w:val="auto"/>
    </w:rPr>
  </w:style>
  <w:style w:type="paragraph" w:customStyle="1" w:styleId="CM2">
    <w:name w:val="CM2"/>
    <w:basedOn w:val="Default"/>
    <w:next w:val="Default"/>
    <w:pPr>
      <w:widowControl/>
      <w:spacing w:line="276" w:lineRule="atLeast"/>
      <w:jc w:val="left"/>
    </w:pPr>
    <w:rPr>
      <w:rFonts w:eastAsia="Lucida Sans Unicode" w:cs="Tahoma"/>
      <w:color w:val="auto"/>
    </w:rPr>
  </w:style>
  <w:style w:type="paragraph" w:customStyle="1" w:styleId="CM28">
    <w:name w:val="CM28"/>
    <w:basedOn w:val="Default"/>
    <w:next w:val="Default"/>
    <w:pPr>
      <w:widowControl/>
      <w:spacing w:line="276" w:lineRule="atLeast"/>
      <w:jc w:val="left"/>
    </w:pPr>
    <w:rPr>
      <w:rFonts w:eastAsia="Lucida Sans Unicode" w:cs="Tahoma"/>
      <w:color w:val="auto"/>
    </w:rPr>
  </w:style>
  <w:style w:type="paragraph" w:customStyle="1" w:styleId="CM81">
    <w:name w:val="CM81"/>
    <w:basedOn w:val="Default"/>
    <w:next w:val="Default"/>
    <w:pPr>
      <w:widowControl/>
      <w:spacing w:after="933"/>
      <w:jc w:val="left"/>
    </w:pPr>
    <w:rPr>
      <w:rFonts w:eastAsia="Lucida Sans Unicode" w:cs="Tahoma"/>
      <w:color w:val="auto"/>
    </w:rPr>
  </w:style>
  <w:style w:type="paragraph" w:customStyle="1" w:styleId="CM82">
    <w:name w:val="CM82"/>
    <w:basedOn w:val="Default"/>
    <w:next w:val="Default"/>
    <w:pPr>
      <w:widowControl/>
      <w:spacing w:after="363"/>
      <w:jc w:val="left"/>
    </w:pPr>
    <w:rPr>
      <w:rFonts w:eastAsia="Lucida Sans Unicode" w:cs="Tahoma"/>
      <w:color w:val="auto"/>
    </w:rPr>
  </w:style>
  <w:style w:type="paragraph" w:customStyle="1" w:styleId="CM29">
    <w:name w:val="CM29"/>
    <w:basedOn w:val="Default"/>
    <w:next w:val="Default"/>
    <w:pPr>
      <w:widowControl/>
      <w:spacing w:line="300" w:lineRule="atLeast"/>
      <w:jc w:val="left"/>
    </w:pPr>
    <w:rPr>
      <w:rFonts w:eastAsia="Lucida Sans Unicode" w:cs="Tahoma"/>
      <w:color w:val="auto"/>
    </w:rPr>
  </w:style>
  <w:style w:type="paragraph" w:customStyle="1" w:styleId="CM30">
    <w:name w:val="CM30"/>
    <w:basedOn w:val="Default"/>
    <w:next w:val="Default"/>
    <w:pPr>
      <w:widowControl/>
      <w:spacing w:line="300" w:lineRule="atLeast"/>
      <w:jc w:val="left"/>
    </w:pPr>
    <w:rPr>
      <w:rFonts w:eastAsia="Lucida Sans Unicode" w:cs="Tahoma"/>
      <w:color w:val="auto"/>
    </w:rPr>
  </w:style>
  <w:style w:type="paragraph" w:customStyle="1" w:styleId="CM77">
    <w:name w:val="CM77"/>
    <w:basedOn w:val="Default"/>
    <w:next w:val="Default"/>
    <w:pPr>
      <w:widowControl/>
      <w:spacing w:after="1213"/>
      <w:jc w:val="left"/>
    </w:pPr>
    <w:rPr>
      <w:rFonts w:eastAsia="Lucida Sans Unicode" w:cs="Tahoma"/>
      <w:color w:val="auto"/>
    </w:rPr>
  </w:style>
  <w:style w:type="paragraph" w:customStyle="1" w:styleId="CM83">
    <w:name w:val="CM83"/>
    <w:basedOn w:val="Default"/>
    <w:next w:val="Default"/>
    <w:pPr>
      <w:widowControl/>
      <w:spacing w:after="458"/>
      <w:jc w:val="left"/>
    </w:pPr>
    <w:rPr>
      <w:rFonts w:eastAsia="Lucida Sans Unicode" w:cs="Tahoma"/>
      <w:color w:val="auto"/>
    </w:rPr>
  </w:style>
  <w:style w:type="paragraph" w:customStyle="1" w:styleId="CM31">
    <w:name w:val="CM31"/>
    <w:basedOn w:val="Default"/>
    <w:next w:val="Default"/>
    <w:pPr>
      <w:widowControl/>
      <w:jc w:val="left"/>
    </w:pPr>
    <w:rPr>
      <w:rFonts w:eastAsia="Lucida Sans Unicode" w:cs="Tahoma"/>
      <w:color w:val="auto"/>
    </w:rPr>
  </w:style>
  <w:style w:type="paragraph" w:customStyle="1" w:styleId="CM32">
    <w:name w:val="CM32"/>
    <w:basedOn w:val="Default"/>
    <w:next w:val="Default"/>
    <w:pPr>
      <w:widowControl/>
      <w:spacing w:line="231" w:lineRule="atLeast"/>
      <w:jc w:val="left"/>
    </w:pPr>
    <w:rPr>
      <w:rFonts w:eastAsia="Lucida Sans Unicode" w:cs="Tahoma"/>
      <w:color w:val="auto"/>
    </w:rPr>
  </w:style>
  <w:style w:type="paragraph" w:customStyle="1" w:styleId="CM33">
    <w:name w:val="CM33"/>
    <w:basedOn w:val="Default"/>
    <w:next w:val="Default"/>
    <w:pPr>
      <w:widowControl/>
      <w:spacing w:line="300" w:lineRule="atLeast"/>
      <w:jc w:val="left"/>
    </w:pPr>
    <w:rPr>
      <w:rFonts w:eastAsia="Lucida Sans Unicode" w:cs="Tahoma"/>
      <w:color w:val="auto"/>
    </w:rPr>
  </w:style>
  <w:style w:type="paragraph" w:customStyle="1" w:styleId="CM34">
    <w:name w:val="CM34"/>
    <w:basedOn w:val="Default"/>
    <w:next w:val="Default"/>
    <w:pPr>
      <w:widowControl/>
      <w:spacing w:line="276" w:lineRule="atLeast"/>
      <w:jc w:val="left"/>
    </w:pPr>
    <w:rPr>
      <w:rFonts w:eastAsia="Lucida Sans Unicode" w:cs="Tahoma"/>
      <w:color w:val="auto"/>
    </w:rPr>
  </w:style>
  <w:style w:type="paragraph" w:customStyle="1" w:styleId="CM35">
    <w:name w:val="CM35"/>
    <w:basedOn w:val="Default"/>
    <w:next w:val="Default"/>
    <w:pPr>
      <w:widowControl/>
      <w:spacing w:line="300" w:lineRule="atLeast"/>
      <w:jc w:val="left"/>
    </w:pPr>
    <w:rPr>
      <w:rFonts w:eastAsia="Lucida Sans Unicode" w:cs="Tahoma"/>
      <w:color w:val="auto"/>
    </w:rPr>
  </w:style>
  <w:style w:type="paragraph" w:customStyle="1" w:styleId="CM36">
    <w:name w:val="CM36"/>
    <w:basedOn w:val="Default"/>
    <w:next w:val="Default"/>
    <w:pPr>
      <w:widowControl/>
      <w:spacing w:line="300" w:lineRule="atLeast"/>
      <w:jc w:val="left"/>
    </w:pPr>
    <w:rPr>
      <w:rFonts w:eastAsia="Lucida Sans Unicode" w:cs="Tahoma"/>
      <w:color w:val="auto"/>
    </w:rPr>
  </w:style>
  <w:style w:type="paragraph" w:customStyle="1" w:styleId="CM85">
    <w:name w:val="CM85"/>
    <w:basedOn w:val="Default"/>
    <w:next w:val="Default"/>
    <w:pPr>
      <w:widowControl/>
      <w:spacing w:after="7165"/>
      <w:jc w:val="left"/>
    </w:pPr>
    <w:rPr>
      <w:rFonts w:eastAsia="Lucida Sans Unicode" w:cs="Tahoma"/>
      <w:color w:val="auto"/>
    </w:rPr>
  </w:style>
  <w:style w:type="paragraph" w:customStyle="1" w:styleId="CM89">
    <w:name w:val="CM89"/>
    <w:basedOn w:val="Default"/>
    <w:next w:val="Default"/>
    <w:pPr>
      <w:widowControl/>
      <w:spacing w:after="1293"/>
      <w:jc w:val="left"/>
    </w:pPr>
    <w:rPr>
      <w:rFonts w:eastAsia="Lucida Sans Unicode" w:cs="Tahoma"/>
      <w:color w:val="auto"/>
    </w:rPr>
  </w:style>
  <w:style w:type="paragraph" w:customStyle="1" w:styleId="CM39">
    <w:name w:val="CM39"/>
    <w:basedOn w:val="Default"/>
    <w:next w:val="Default"/>
    <w:pPr>
      <w:widowControl/>
      <w:spacing w:line="231" w:lineRule="atLeast"/>
      <w:jc w:val="left"/>
    </w:pPr>
    <w:rPr>
      <w:rFonts w:eastAsia="Lucida Sans Unicode" w:cs="Tahoma"/>
      <w:color w:val="auto"/>
    </w:rPr>
  </w:style>
  <w:style w:type="paragraph" w:customStyle="1" w:styleId="CM40">
    <w:name w:val="CM40"/>
    <w:basedOn w:val="Default"/>
    <w:next w:val="Default"/>
    <w:pPr>
      <w:widowControl/>
      <w:spacing w:line="296" w:lineRule="atLeast"/>
      <w:jc w:val="left"/>
    </w:pPr>
    <w:rPr>
      <w:rFonts w:eastAsia="Lucida Sans Unicode" w:cs="Tahoma"/>
      <w:color w:val="auto"/>
    </w:rPr>
  </w:style>
  <w:style w:type="paragraph" w:customStyle="1" w:styleId="CM41">
    <w:name w:val="CM41"/>
    <w:basedOn w:val="Default"/>
    <w:next w:val="Default"/>
    <w:pPr>
      <w:widowControl/>
      <w:spacing w:line="231" w:lineRule="atLeast"/>
      <w:jc w:val="left"/>
    </w:pPr>
    <w:rPr>
      <w:rFonts w:eastAsia="Lucida Sans Unicode" w:cs="Tahoma"/>
      <w:color w:val="auto"/>
    </w:rPr>
  </w:style>
  <w:style w:type="paragraph" w:customStyle="1" w:styleId="CM42">
    <w:name w:val="CM42"/>
    <w:basedOn w:val="Default"/>
    <w:next w:val="Default"/>
    <w:pPr>
      <w:widowControl/>
      <w:jc w:val="left"/>
    </w:pPr>
    <w:rPr>
      <w:rFonts w:eastAsia="Lucida Sans Unicode" w:cs="Tahoma"/>
      <w:color w:val="auto"/>
    </w:rPr>
  </w:style>
  <w:style w:type="paragraph" w:customStyle="1" w:styleId="CM91">
    <w:name w:val="CM91"/>
    <w:basedOn w:val="Default"/>
    <w:next w:val="Default"/>
    <w:pPr>
      <w:widowControl/>
      <w:spacing w:after="7315"/>
      <w:jc w:val="left"/>
    </w:pPr>
    <w:rPr>
      <w:rFonts w:eastAsia="Lucida Sans Unicode" w:cs="Tahoma"/>
      <w:color w:val="auto"/>
    </w:rPr>
  </w:style>
  <w:style w:type="paragraph" w:customStyle="1" w:styleId="CM44">
    <w:name w:val="CM44"/>
    <w:basedOn w:val="Default"/>
    <w:next w:val="Default"/>
    <w:pPr>
      <w:widowControl/>
      <w:jc w:val="left"/>
    </w:pPr>
    <w:rPr>
      <w:rFonts w:eastAsia="Lucida Sans Unicode" w:cs="Tahoma"/>
      <w:color w:val="auto"/>
    </w:rPr>
  </w:style>
  <w:style w:type="paragraph" w:customStyle="1" w:styleId="CM45">
    <w:name w:val="CM45"/>
    <w:basedOn w:val="Default"/>
    <w:next w:val="Default"/>
    <w:pPr>
      <w:widowControl/>
      <w:spacing w:line="300" w:lineRule="atLeast"/>
      <w:jc w:val="left"/>
    </w:pPr>
    <w:rPr>
      <w:rFonts w:eastAsia="Lucida Sans Unicode" w:cs="Tahoma"/>
      <w:color w:val="auto"/>
    </w:rPr>
  </w:style>
  <w:style w:type="paragraph" w:customStyle="1" w:styleId="CM46">
    <w:name w:val="CM46"/>
    <w:basedOn w:val="Default"/>
    <w:next w:val="Default"/>
    <w:pPr>
      <w:widowControl/>
      <w:spacing w:line="231" w:lineRule="atLeast"/>
      <w:jc w:val="left"/>
    </w:pPr>
    <w:rPr>
      <w:rFonts w:eastAsia="Lucida Sans Unicode" w:cs="Tahoma"/>
      <w:color w:val="auto"/>
    </w:rPr>
  </w:style>
  <w:style w:type="paragraph" w:customStyle="1" w:styleId="CM94">
    <w:name w:val="CM94"/>
    <w:basedOn w:val="Default"/>
    <w:next w:val="Default"/>
    <w:pPr>
      <w:widowControl/>
      <w:spacing w:after="1720"/>
      <w:jc w:val="left"/>
    </w:pPr>
    <w:rPr>
      <w:rFonts w:eastAsia="Lucida Sans Unicode" w:cs="Tahoma"/>
      <w:color w:val="auto"/>
    </w:rPr>
  </w:style>
  <w:style w:type="paragraph" w:customStyle="1" w:styleId="CM95">
    <w:name w:val="CM95"/>
    <w:basedOn w:val="Default"/>
    <w:next w:val="Default"/>
    <w:pPr>
      <w:widowControl/>
      <w:spacing w:after="788"/>
      <w:jc w:val="left"/>
    </w:pPr>
    <w:rPr>
      <w:rFonts w:eastAsia="Lucida Sans Unicode" w:cs="Tahoma"/>
      <w:color w:val="auto"/>
    </w:rPr>
  </w:style>
  <w:style w:type="paragraph" w:customStyle="1" w:styleId="CM84">
    <w:name w:val="CM84"/>
    <w:basedOn w:val="Default"/>
    <w:next w:val="Default"/>
    <w:pPr>
      <w:widowControl/>
      <w:spacing w:after="6308"/>
      <w:jc w:val="left"/>
    </w:pPr>
    <w:rPr>
      <w:rFonts w:eastAsia="Lucida Sans Unicode" w:cs="Tahoma"/>
      <w:color w:val="auto"/>
    </w:rPr>
  </w:style>
  <w:style w:type="paragraph" w:customStyle="1" w:styleId="CM98">
    <w:name w:val="CM98"/>
    <w:basedOn w:val="Default"/>
    <w:next w:val="Default"/>
    <w:pPr>
      <w:widowControl/>
      <w:spacing w:after="2135"/>
      <w:jc w:val="left"/>
    </w:pPr>
    <w:rPr>
      <w:rFonts w:eastAsia="Lucida Sans Unicode" w:cs="Tahoma"/>
      <w:color w:val="auto"/>
    </w:rPr>
  </w:style>
  <w:style w:type="paragraph" w:customStyle="1" w:styleId="CM47">
    <w:name w:val="CM47"/>
    <w:basedOn w:val="Default"/>
    <w:next w:val="Default"/>
    <w:pPr>
      <w:widowControl/>
      <w:spacing w:line="231" w:lineRule="atLeast"/>
      <w:jc w:val="left"/>
    </w:pPr>
    <w:rPr>
      <w:rFonts w:eastAsia="Lucida Sans Unicode" w:cs="Tahoma"/>
      <w:color w:val="auto"/>
    </w:rPr>
  </w:style>
  <w:style w:type="paragraph" w:customStyle="1" w:styleId="CM48">
    <w:name w:val="CM48"/>
    <w:basedOn w:val="Default"/>
    <w:next w:val="Default"/>
    <w:pPr>
      <w:widowControl/>
      <w:spacing w:line="276" w:lineRule="atLeast"/>
      <w:jc w:val="left"/>
    </w:pPr>
    <w:rPr>
      <w:rFonts w:eastAsia="Lucida Sans Unicode" w:cs="Tahoma"/>
      <w:color w:val="auto"/>
    </w:rPr>
  </w:style>
  <w:style w:type="paragraph" w:customStyle="1" w:styleId="CM49">
    <w:name w:val="CM49"/>
    <w:basedOn w:val="Default"/>
    <w:next w:val="Default"/>
    <w:pPr>
      <w:widowControl/>
      <w:spacing w:line="276" w:lineRule="atLeast"/>
      <w:jc w:val="left"/>
    </w:pPr>
    <w:rPr>
      <w:rFonts w:eastAsia="Lucida Sans Unicode" w:cs="Tahoma"/>
      <w:color w:val="auto"/>
    </w:rPr>
  </w:style>
  <w:style w:type="paragraph" w:customStyle="1" w:styleId="CM50">
    <w:name w:val="CM50"/>
    <w:basedOn w:val="Default"/>
    <w:next w:val="Default"/>
    <w:pPr>
      <w:widowControl/>
      <w:spacing w:line="276" w:lineRule="atLeast"/>
      <w:jc w:val="left"/>
    </w:pPr>
    <w:rPr>
      <w:rFonts w:eastAsia="Lucida Sans Unicode" w:cs="Tahoma"/>
      <w:color w:val="auto"/>
    </w:rPr>
  </w:style>
  <w:style w:type="paragraph" w:customStyle="1" w:styleId="CM100">
    <w:name w:val="CM100"/>
    <w:basedOn w:val="Default"/>
    <w:next w:val="Default"/>
    <w:pPr>
      <w:widowControl/>
      <w:spacing w:after="548"/>
      <w:jc w:val="left"/>
    </w:pPr>
    <w:rPr>
      <w:rFonts w:eastAsia="Lucida Sans Unicode" w:cs="Tahoma"/>
      <w:color w:val="auto"/>
    </w:rPr>
  </w:style>
  <w:style w:type="paragraph" w:customStyle="1" w:styleId="CM51">
    <w:name w:val="CM51"/>
    <w:basedOn w:val="Default"/>
    <w:next w:val="Default"/>
    <w:pPr>
      <w:widowControl/>
      <w:spacing w:line="276" w:lineRule="atLeast"/>
      <w:jc w:val="left"/>
    </w:pPr>
    <w:rPr>
      <w:rFonts w:eastAsia="Lucida Sans Unicode" w:cs="Tahoma"/>
      <w:color w:val="auto"/>
    </w:rPr>
  </w:style>
  <w:style w:type="paragraph" w:customStyle="1" w:styleId="CM52">
    <w:name w:val="CM52"/>
    <w:basedOn w:val="Default"/>
    <w:next w:val="Default"/>
    <w:pPr>
      <w:widowControl/>
      <w:spacing w:line="276" w:lineRule="atLeast"/>
      <w:jc w:val="left"/>
    </w:pPr>
    <w:rPr>
      <w:rFonts w:eastAsia="Lucida Sans Unicode" w:cs="Tahoma"/>
      <w:color w:val="auto"/>
    </w:rPr>
  </w:style>
  <w:style w:type="paragraph" w:customStyle="1" w:styleId="CM53">
    <w:name w:val="CM53"/>
    <w:basedOn w:val="Default"/>
    <w:next w:val="Default"/>
    <w:pPr>
      <w:widowControl/>
      <w:spacing w:line="300" w:lineRule="atLeast"/>
      <w:jc w:val="left"/>
    </w:pPr>
    <w:rPr>
      <w:rFonts w:eastAsia="Lucida Sans Unicode" w:cs="Tahoma"/>
      <w:color w:val="auto"/>
    </w:rPr>
  </w:style>
  <w:style w:type="paragraph" w:customStyle="1" w:styleId="CM54">
    <w:name w:val="CM54"/>
    <w:basedOn w:val="Default"/>
    <w:next w:val="Default"/>
    <w:pPr>
      <w:widowControl/>
      <w:spacing w:line="276" w:lineRule="atLeast"/>
      <w:jc w:val="left"/>
    </w:pPr>
    <w:rPr>
      <w:rFonts w:eastAsia="Lucida Sans Unicode" w:cs="Tahoma"/>
      <w:color w:val="auto"/>
    </w:rPr>
  </w:style>
  <w:style w:type="paragraph" w:customStyle="1" w:styleId="CM92">
    <w:name w:val="CM92"/>
    <w:basedOn w:val="Default"/>
    <w:next w:val="Default"/>
    <w:pPr>
      <w:widowControl/>
      <w:spacing w:after="1503"/>
      <w:jc w:val="left"/>
    </w:pPr>
    <w:rPr>
      <w:rFonts w:eastAsia="Lucida Sans Unicode" w:cs="Tahoma"/>
      <w:color w:val="auto"/>
    </w:rPr>
  </w:style>
  <w:style w:type="paragraph" w:customStyle="1" w:styleId="CM99">
    <w:name w:val="CM99"/>
    <w:basedOn w:val="Default"/>
    <w:next w:val="Default"/>
    <w:pPr>
      <w:widowControl/>
      <w:spacing w:after="1068"/>
      <w:jc w:val="left"/>
    </w:pPr>
    <w:rPr>
      <w:rFonts w:eastAsia="Lucida Sans Unicode" w:cs="Tahoma"/>
      <w:color w:val="auto"/>
    </w:rPr>
  </w:style>
  <w:style w:type="paragraph" w:customStyle="1" w:styleId="CM57">
    <w:name w:val="CM57"/>
    <w:basedOn w:val="Default"/>
    <w:next w:val="Default"/>
    <w:pPr>
      <w:widowControl/>
      <w:spacing w:line="231" w:lineRule="atLeast"/>
      <w:jc w:val="left"/>
    </w:pPr>
    <w:rPr>
      <w:rFonts w:eastAsia="Lucida Sans Unicode" w:cs="Tahoma"/>
      <w:color w:val="auto"/>
    </w:rPr>
  </w:style>
  <w:style w:type="paragraph" w:customStyle="1" w:styleId="CM87">
    <w:name w:val="CM87"/>
    <w:basedOn w:val="Default"/>
    <w:next w:val="Default"/>
    <w:pPr>
      <w:widowControl/>
      <w:spacing w:after="1855"/>
      <w:jc w:val="left"/>
    </w:pPr>
    <w:rPr>
      <w:rFonts w:eastAsia="Lucida Sans Unicode" w:cs="Tahoma"/>
      <w:color w:val="auto"/>
    </w:rPr>
  </w:style>
  <w:style w:type="paragraph" w:customStyle="1" w:styleId="CM58">
    <w:name w:val="CM58"/>
    <w:basedOn w:val="Default"/>
    <w:next w:val="Default"/>
    <w:pPr>
      <w:widowControl/>
      <w:spacing w:line="231" w:lineRule="atLeast"/>
      <w:jc w:val="left"/>
    </w:pPr>
    <w:rPr>
      <w:rFonts w:eastAsia="Lucida Sans Unicode" w:cs="Tahoma"/>
      <w:color w:val="auto"/>
    </w:rPr>
  </w:style>
  <w:style w:type="paragraph" w:customStyle="1" w:styleId="CM59">
    <w:name w:val="CM59"/>
    <w:basedOn w:val="Default"/>
    <w:next w:val="Default"/>
    <w:pPr>
      <w:widowControl/>
      <w:spacing w:line="300" w:lineRule="atLeast"/>
      <w:jc w:val="left"/>
    </w:pPr>
    <w:rPr>
      <w:rFonts w:eastAsia="Lucida Sans Unicode" w:cs="Tahoma"/>
      <w:color w:val="auto"/>
    </w:rPr>
  </w:style>
  <w:style w:type="paragraph" w:customStyle="1" w:styleId="CM60">
    <w:name w:val="CM60"/>
    <w:basedOn w:val="Default"/>
    <w:next w:val="Default"/>
    <w:pPr>
      <w:widowControl/>
      <w:spacing w:line="300" w:lineRule="atLeast"/>
      <w:jc w:val="left"/>
    </w:pPr>
    <w:rPr>
      <w:rFonts w:eastAsia="Lucida Sans Unicode" w:cs="Tahoma"/>
      <w:color w:val="auto"/>
    </w:rPr>
  </w:style>
  <w:style w:type="paragraph" w:customStyle="1" w:styleId="CM37">
    <w:name w:val="CM37"/>
    <w:basedOn w:val="Default"/>
    <w:next w:val="Default"/>
    <w:pPr>
      <w:widowControl/>
      <w:spacing w:line="300" w:lineRule="atLeast"/>
      <w:jc w:val="left"/>
    </w:pPr>
    <w:rPr>
      <w:rFonts w:eastAsia="Lucida Sans Unicode" w:cs="Tahoma"/>
      <w:color w:val="auto"/>
    </w:rPr>
  </w:style>
  <w:style w:type="paragraph" w:customStyle="1" w:styleId="CM61">
    <w:name w:val="CM61"/>
    <w:basedOn w:val="Default"/>
    <w:next w:val="Default"/>
    <w:pPr>
      <w:widowControl/>
      <w:spacing w:line="231" w:lineRule="atLeast"/>
      <w:jc w:val="left"/>
    </w:pPr>
    <w:rPr>
      <w:rFonts w:eastAsia="Lucida Sans Unicode" w:cs="Tahoma"/>
      <w:color w:val="auto"/>
    </w:rPr>
  </w:style>
  <w:style w:type="paragraph" w:customStyle="1" w:styleId="CM63">
    <w:name w:val="CM63"/>
    <w:basedOn w:val="Default"/>
    <w:next w:val="Default"/>
    <w:pPr>
      <w:widowControl/>
      <w:spacing w:line="231" w:lineRule="atLeast"/>
      <w:jc w:val="left"/>
    </w:pPr>
    <w:rPr>
      <w:rFonts w:eastAsia="Lucida Sans Unicode" w:cs="Tahoma"/>
      <w:color w:val="auto"/>
    </w:rPr>
  </w:style>
  <w:style w:type="paragraph" w:customStyle="1" w:styleId="CM86">
    <w:name w:val="CM86"/>
    <w:basedOn w:val="Default"/>
    <w:next w:val="Default"/>
    <w:pPr>
      <w:widowControl/>
      <w:spacing w:after="2328"/>
      <w:jc w:val="left"/>
    </w:pPr>
    <w:rPr>
      <w:rFonts w:eastAsia="Lucida Sans Unicode" w:cs="Tahoma"/>
      <w:color w:val="auto"/>
    </w:rPr>
  </w:style>
  <w:style w:type="paragraph" w:customStyle="1" w:styleId="CM105">
    <w:name w:val="CM105"/>
    <w:basedOn w:val="Default"/>
    <w:next w:val="Default"/>
    <w:pPr>
      <w:widowControl/>
      <w:spacing w:after="2193"/>
      <w:jc w:val="left"/>
    </w:pPr>
    <w:rPr>
      <w:rFonts w:eastAsia="Lucida Sans Unicode" w:cs="Tahoma"/>
      <w:color w:val="auto"/>
    </w:rPr>
  </w:style>
  <w:style w:type="paragraph" w:customStyle="1" w:styleId="CM64">
    <w:name w:val="CM64"/>
    <w:basedOn w:val="Default"/>
    <w:next w:val="Default"/>
    <w:pPr>
      <w:widowControl/>
      <w:spacing w:line="300" w:lineRule="atLeast"/>
      <w:jc w:val="left"/>
    </w:pPr>
    <w:rPr>
      <w:rFonts w:eastAsia="Lucida Sans Unicode" w:cs="Tahoma"/>
      <w:color w:val="auto"/>
    </w:rPr>
  </w:style>
  <w:style w:type="paragraph" w:customStyle="1" w:styleId="CM65">
    <w:name w:val="CM65"/>
    <w:basedOn w:val="Default"/>
    <w:next w:val="Default"/>
    <w:pPr>
      <w:widowControl/>
      <w:spacing w:line="300" w:lineRule="atLeast"/>
      <w:jc w:val="left"/>
    </w:pPr>
    <w:rPr>
      <w:rFonts w:eastAsia="Lucida Sans Unicode" w:cs="Tahoma"/>
      <w:color w:val="auto"/>
    </w:rPr>
  </w:style>
  <w:style w:type="paragraph" w:customStyle="1" w:styleId="CM66">
    <w:name w:val="CM66"/>
    <w:basedOn w:val="Default"/>
    <w:next w:val="Default"/>
    <w:pPr>
      <w:widowControl/>
      <w:spacing w:line="276" w:lineRule="atLeast"/>
      <w:jc w:val="left"/>
    </w:pPr>
    <w:rPr>
      <w:rFonts w:eastAsia="Lucida Sans Unicode" w:cs="Tahoma"/>
      <w:color w:val="auto"/>
    </w:rPr>
  </w:style>
  <w:style w:type="paragraph" w:customStyle="1" w:styleId="CM67">
    <w:name w:val="CM67"/>
    <w:basedOn w:val="Default"/>
    <w:next w:val="Default"/>
    <w:pPr>
      <w:widowControl/>
      <w:spacing w:line="276" w:lineRule="atLeast"/>
      <w:jc w:val="left"/>
    </w:pPr>
    <w:rPr>
      <w:rFonts w:eastAsia="Lucida Sans Unicode" w:cs="Tahoma"/>
      <w:color w:val="auto"/>
    </w:rPr>
  </w:style>
  <w:style w:type="paragraph" w:customStyle="1" w:styleId="CM68">
    <w:name w:val="CM68"/>
    <w:basedOn w:val="Default"/>
    <w:next w:val="Default"/>
    <w:pPr>
      <w:widowControl/>
      <w:spacing w:line="231" w:lineRule="atLeast"/>
      <w:jc w:val="left"/>
    </w:pPr>
    <w:rPr>
      <w:rFonts w:eastAsia="Lucida Sans Unicode" w:cs="Tahoma"/>
      <w:color w:val="auto"/>
    </w:rPr>
  </w:style>
  <w:style w:type="paragraph" w:customStyle="1" w:styleId="CM69">
    <w:name w:val="CM69"/>
    <w:basedOn w:val="Default"/>
    <w:next w:val="Default"/>
    <w:pPr>
      <w:widowControl/>
      <w:spacing w:line="200" w:lineRule="atLeast"/>
      <w:jc w:val="left"/>
    </w:pPr>
    <w:rPr>
      <w:rFonts w:eastAsia="Lucida Sans Unicode" w:cs="Tahoma"/>
      <w:color w:val="auto"/>
    </w:rPr>
  </w:style>
  <w:style w:type="paragraph" w:customStyle="1" w:styleId="Titolotabella">
    <w:name w:val="Titolo tabella"/>
    <w:basedOn w:val="Contenutotabella"/>
    <w:pPr>
      <w:jc w:val="center"/>
    </w:pPr>
    <w:rPr>
      <w:b/>
      <w:bCs/>
    </w:rPr>
  </w:style>
  <w:style w:type="paragraph" w:customStyle="1" w:styleId="Paragrafoelenco4">
    <w:name w:val="Paragrafo elenco4"/>
    <w:basedOn w:val="Normale"/>
    <w:rPr>
      <w:rFonts w:ascii="Times New Roman" w:hAnsi="Times New Roman" w:cs="Times New Roman"/>
      <w:szCs w:val="20"/>
    </w:rPr>
  </w:style>
  <w:style w:type="paragraph" w:customStyle="1" w:styleId="04xlpa">
    <w:name w:val="_04xlpa"/>
    <w:basedOn w:val="Normale"/>
    <w:pPr>
      <w:suppressAutoHyphens w:val="0"/>
      <w:spacing w:before="280" w:after="280" w:line="240" w:lineRule="auto"/>
      <w:jc w:val="left"/>
    </w:pPr>
    <w:rPr>
      <w:rFonts w:ascii="Times New Roman" w:hAnsi="Times New Roman" w:cs="Times New Roman"/>
      <w:sz w:val="24"/>
      <w:szCs w:val="24"/>
    </w:rPr>
  </w:style>
  <w:style w:type="paragraph" w:customStyle="1" w:styleId="Titolo33">
    <w:name w:val="Titolo3"/>
    <w:basedOn w:val="Normale"/>
    <w:next w:val="Normale"/>
    <w:pPr>
      <w:spacing w:before="240" w:after="60"/>
      <w:jc w:val="center"/>
    </w:pPr>
    <w:rPr>
      <w:rFonts w:ascii="Calibri Light" w:hAnsi="Calibri Light" w:cs="Times New Roman"/>
      <w:b/>
      <w:bCs/>
      <w:kern w:val="2"/>
      <w:sz w:val="32"/>
      <w:szCs w:val="32"/>
    </w:rPr>
  </w:style>
  <w:style w:type="paragraph" w:customStyle="1" w:styleId="Corpodeltesto33">
    <w:name w:val="Corpo del testo 33"/>
    <w:basedOn w:val="Normale"/>
    <w:pPr>
      <w:spacing w:after="120"/>
      <w:jc w:val="left"/>
    </w:pPr>
    <w:rPr>
      <w:rFonts w:ascii="Calibri" w:eastAsia="Calibri" w:hAnsi="Calibri"/>
      <w:sz w:val="16"/>
      <w:szCs w:val="16"/>
    </w:rPr>
  </w:style>
  <w:style w:type="paragraph" w:customStyle="1" w:styleId="Blockquote">
    <w:name w:val="Blockquote"/>
    <w:basedOn w:val="Normale"/>
    <w:pPr>
      <w:spacing w:before="100" w:after="100"/>
      <w:ind w:left="360" w:right="360"/>
      <w:jc w:val="left"/>
    </w:pPr>
    <w:rPr>
      <w:rFonts w:ascii="Times New Roman" w:hAnsi="Times New Roman" w:cs="Times New Roman"/>
      <w:sz w:val="24"/>
      <w:szCs w:val="20"/>
    </w:rPr>
  </w:style>
  <w:style w:type="paragraph" w:customStyle="1" w:styleId="sche3">
    <w:name w:val="sche_3"/>
    <w:pPr>
      <w:widowControl w:val="0"/>
      <w:suppressAutoHyphens/>
      <w:overflowPunct w:val="0"/>
      <w:autoSpaceDE w:val="0"/>
      <w:jc w:val="both"/>
      <w:textAlignment w:val="baseline"/>
    </w:pPr>
    <w:rPr>
      <w:lang w:val="en-US" w:eastAsia="zh-CN"/>
    </w:rPr>
  </w:style>
  <w:style w:type="paragraph" w:customStyle="1" w:styleId="sche22">
    <w:name w:val="sche2_2"/>
    <w:pPr>
      <w:widowControl w:val="0"/>
      <w:suppressAutoHyphens/>
      <w:overflowPunct w:val="0"/>
      <w:autoSpaceDE w:val="0"/>
      <w:jc w:val="right"/>
      <w:textAlignment w:val="baseline"/>
    </w:pPr>
    <w:rPr>
      <w:lang w:val="en-US" w:eastAsia="zh-CN"/>
    </w:rPr>
  </w:style>
  <w:style w:type="paragraph" w:customStyle="1" w:styleId="sche23">
    <w:name w:val="sche2_3"/>
    <w:pPr>
      <w:widowControl w:val="0"/>
      <w:suppressAutoHyphens/>
      <w:overflowPunct w:val="0"/>
      <w:autoSpaceDE w:val="0"/>
      <w:jc w:val="right"/>
      <w:textAlignment w:val="baseline"/>
    </w:pPr>
    <w:rPr>
      <w:lang w:val="en-US" w:eastAsia="zh-CN"/>
    </w:rPr>
  </w:style>
  <w:style w:type="paragraph" w:customStyle="1" w:styleId="sche4">
    <w:name w:val="sche_4"/>
    <w:pPr>
      <w:widowControl w:val="0"/>
      <w:suppressAutoHyphens/>
      <w:jc w:val="both"/>
    </w:pPr>
    <w:rPr>
      <w:lang w:val="en-US" w:eastAsia="zh-CN"/>
    </w:rPr>
  </w:style>
  <w:style w:type="paragraph" w:customStyle="1" w:styleId="Rigadiintestazioneasinistra">
    <w:name w:val="Riga di intestazione a sinistra"/>
    <w:basedOn w:val="Intestazione"/>
    <w:pPr>
      <w:keepNext w:val="0"/>
      <w:suppressLineNumbers/>
      <w:tabs>
        <w:tab w:val="center" w:pos="4819"/>
        <w:tab w:val="right" w:pos="9638"/>
      </w:tabs>
      <w:spacing w:before="0"/>
      <w:jc w:val="left"/>
    </w:pPr>
    <w:rPr>
      <w:rFonts w:ascii="Tahoma" w:eastAsia="Calibri" w:hAnsi="Tahoma" w:cs="Tahoma"/>
      <w:sz w:val="20"/>
      <w:szCs w:val="22"/>
    </w:rPr>
  </w:style>
  <w:style w:type="paragraph" w:customStyle="1" w:styleId="p1">
    <w:name w:val="p1"/>
    <w:basedOn w:val="Standard"/>
    <w:rsid w:val="002558B3"/>
    <w:pPr>
      <w:widowControl/>
      <w:autoSpaceDN w:val="0"/>
    </w:pPr>
    <w:rPr>
      <w:rFonts w:cs="Times New Roman"/>
      <w:color w:val="auto"/>
      <w:kern w:val="3"/>
      <w:lang w:eastAsia="it-IT" w:bidi="ar-SA"/>
    </w:rPr>
  </w:style>
  <w:style w:type="paragraph" w:styleId="Titolo">
    <w:name w:val="Title"/>
    <w:basedOn w:val="Standard"/>
    <w:next w:val="Sottotitolo"/>
    <w:link w:val="TitoloCarattere3"/>
    <w:qFormat/>
    <w:rsid w:val="002558B3"/>
    <w:pPr>
      <w:widowControl/>
      <w:autoSpaceDN w:val="0"/>
    </w:pPr>
    <w:rPr>
      <w:rFonts w:ascii="Calibri" w:hAnsi="Calibri" w:cs="F"/>
      <w:b/>
      <w:bCs/>
      <w:i/>
      <w:color w:val="auto"/>
      <w:spacing w:val="-10"/>
      <w:kern w:val="3"/>
      <w:sz w:val="30"/>
      <w:szCs w:val="56"/>
      <w:lang w:eastAsia="it-IT" w:bidi="ar-SA"/>
    </w:rPr>
  </w:style>
  <w:style w:type="character" w:customStyle="1" w:styleId="TitoloCarattere3">
    <w:name w:val="Titolo Carattere3"/>
    <w:link w:val="Titolo"/>
    <w:uiPriority w:val="10"/>
    <w:rsid w:val="002558B3"/>
    <w:rPr>
      <w:rFonts w:ascii="Calibri" w:eastAsia="SimSun" w:hAnsi="Calibri" w:cs="F"/>
      <w:b/>
      <w:bCs/>
      <w:i/>
      <w:spacing w:val="-10"/>
      <w:kern w:val="3"/>
      <w:sz w:val="30"/>
      <w:szCs w:val="56"/>
    </w:rPr>
  </w:style>
  <w:style w:type="paragraph" w:customStyle="1" w:styleId="ContentsHeading">
    <w:name w:val="Contents Heading"/>
    <w:basedOn w:val="Titolo1"/>
    <w:rsid w:val="002558B3"/>
    <w:pPr>
      <w:numPr>
        <w:numId w:val="0"/>
      </w:numPr>
      <w:suppressLineNumbers/>
      <w:autoSpaceDN w:val="0"/>
      <w:spacing w:line="254" w:lineRule="auto"/>
      <w:jc w:val="left"/>
      <w:textAlignment w:val="baseline"/>
    </w:pPr>
    <w:rPr>
      <w:rFonts w:ascii="Calibri Light" w:eastAsia="SimSun" w:hAnsi="Calibri Light" w:cs="F"/>
      <w:b w:val="0"/>
      <w:color w:val="2F5496"/>
      <w:kern w:val="3"/>
      <w:szCs w:val="32"/>
      <w:lang w:val="en-US" w:eastAsia="en-US"/>
    </w:rPr>
  </w:style>
  <w:style w:type="paragraph" w:customStyle="1" w:styleId="Contents5">
    <w:name w:val="Contents 5"/>
    <w:basedOn w:val="Standard"/>
    <w:rsid w:val="002558B3"/>
    <w:pPr>
      <w:widowControl/>
      <w:tabs>
        <w:tab w:val="right" w:leader="dot" w:pos="9386"/>
      </w:tabs>
      <w:autoSpaceDN w:val="0"/>
      <w:spacing w:after="100" w:line="254" w:lineRule="auto"/>
      <w:ind w:left="880"/>
    </w:pPr>
    <w:rPr>
      <w:rFonts w:ascii="Calibri" w:hAnsi="Calibri" w:cs="F"/>
      <w:color w:val="auto"/>
      <w:kern w:val="3"/>
      <w:sz w:val="22"/>
      <w:szCs w:val="22"/>
      <w:lang w:eastAsia="it-IT" w:bidi="ar-SA"/>
    </w:rPr>
  </w:style>
  <w:style w:type="paragraph" w:customStyle="1" w:styleId="Contents6">
    <w:name w:val="Contents 6"/>
    <w:basedOn w:val="Standard"/>
    <w:rsid w:val="002558B3"/>
    <w:pPr>
      <w:widowControl/>
      <w:tabs>
        <w:tab w:val="right" w:leader="dot" w:pos="9323"/>
      </w:tabs>
      <w:autoSpaceDN w:val="0"/>
      <w:spacing w:after="100" w:line="254" w:lineRule="auto"/>
      <w:ind w:left="1100"/>
    </w:pPr>
    <w:rPr>
      <w:rFonts w:ascii="Calibri" w:hAnsi="Calibri" w:cs="F"/>
      <w:color w:val="auto"/>
      <w:kern w:val="3"/>
      <w:sz w:val="22"/>
      <w:szCs w:val="22"/>
      <w:lang w:eastAsia="it-IT" w:bidi="ar-SA"/>
    </w:rPr>
  </w:style>
  <w:style w:type="paragraph" w:customStyle="1" w:styleId="Contents7">
    <w:name w:val="Contents 7"/>
    <w:basedOn w:val="Standard"/>
    <w:rsid w:val="002558B3"/>
    <w:pPr>
      <w:widowControl/>
      <w:tabs>
        <w:tab w:val="right" w:leader="dot" w:pos="9260"/>
      </w:tabs>
      <w:autoSpaceDN w:val="0"/>
      <w:spacing w:after="100" w:line="254" w:lineRule="auto"/>
      <w:ind w:left="1320"/>
    </w:pPr>
    <w:rPr>
      <w:rFonts w:ascii="Calibri" w:hAnsi="Calibri" w:cs="F"/>
      <w:color w:val="auto"/>
      <w:kern w:val="3"/>
      <w:sz w:val="22"/>
      <w:szCs w:val="22"/>
      <w:lang w:eastAsia="it-IT" w:bidi="ar-SA"/>
    </w:rPr>
  </w:style>
  <w:style w:type="paragraph" w:customStyle="1" w:styleId="Contents8">
    <w:name w:val="Contents 8"/>
    <w:basedOn w:val="Standard"/>
    <w:rsid w:val="002558B3"/>
    <w:pPr>
      <w:widowControl/>
      <w:tabs>
        <w:tab w:val="right" w:leader="dot" w:pos="9197"/>
      </w:tabs>
      <w:autoSpaceDN w:val="0"/>
      <w:spacing w:after="100" w:line="254" w:lineRule="auto"/>
      <w:ind w:left="1540"/>
    </w:pPr>
    <w:rPr>
      <w:rFonts w:ascii="Calibri" w:hAnsi="Calibri" w:cs="F"/>
      <w:color w:val="auto"/>
      <w:kern w:val="3"/>
      <w:sz w:val="22"/>
      <w:szCs w:val="22"/>
      <w:lang w:eastAsia="it-IT" w:bidi="ar-SA"/>
    </w:rPr>
  </w:style>
  <w:style w:type="paragraph" w:customStyle="1" w:styleId="Contents9">
    <w:name w:val="Contents 9"/>
    <w:basedOn w:val="Standard"/>
    <w:rsid w:val="002558B3"/>
    <w:pPr>
      <w:widowControl/>
      <w:tabs>
        <w:tab w:val="right" w:leader="dot" w:pos="9134"/>
      </w:tabs>
      <w:autoSpaceDN w:val="0"/>
      <w:spacing w:after="100" w:line="254" w:lineRule="auto"/>
      <w:ind w:left="1760"/>
    </w:pPr>
    <w:rPr>
      <w:rFonts w:ascii="Calibri" w:hAnsi="Calibri" w:cs="F"/>
      <w:color w:val="auto"/>
      <w:kern w:val="3"/>
      <w:sz w:val="22"/>
      <w:szCs w:val="22"/>
      <w:lang w:eastAsia="it-IT" w:bidi="ar-SA"/>
    </w:rPr>
  </w:style>
  <w:style w:type="character" w:customStyle="1" w:styleId="Internetlink">
    <w:name w:val="Internet link"/>
    <w:rsid w:val="002558B3"/>
    <w:rPr>
      <w:color w:val="0563C1"/>
      <w:u w:val="single"/>
    </w:rPr>
  </w:style>
  <w:style w:type="character" w:customStyle="1" w:styleId="s1">
    <w:name w:val="s1"/>
    <w:rsid w:val="002558B3"/>
    <w:rPr>
      <w:rFonts w:ascii="Helvetica" w:hAnsi="Helvetica"/>
      <w:b w:val="0"/>
      <w:bCs w:val="0"/>
      <w:i w:val="0"/>
      <w:iCs w:val="0"/>
      <w:sz w:val="24"/>
      <w:szCs w:val="24"/>
    </w:rPr>
  </w:style>
  <w:style w:type="paragraph" w:customStyle="1" w:styleId="text-90">
    <w:name w:val="text-90"/>
    <w:basedOn w:val="Normale"/>
    <w:rsid w:val="002558B3"/>
    <w:pPr>
      <w:suppressAutoHyphens w:val="0"/>
      <w:autoSpaceDN w:val="0"/>
      <w:spacing w:before="100" w:after="100" w:line="240" w:lineRule="auto"/>
      <w:jc w:val="left"/>
    </w:pPr>
    <w:rPr>
      <w:rFonts w:ascii="Times New Roman" w:hAnsi="Times New Roman" w:cs="Times New Roman"/>
      <w:sz w:val="24"/>
      <w:szCs w:val="24"/>
      <w:lang w:eastAsia="it-IT"/>
    </w:rPr>
  </w:style>
  <w:style w:type="character" w:styleId="Rimandocommento">
    <w:name w:val="annotation reference"/>
    <w:rsid w:val="002558B3"/>
    <w:rPr>
      <w:sz w:val="16"/>
      <w:szCs w:val="16"/>
    </w:rPr>
  </w:style>
  <w:style w:type="paragraph" w:styleId="Testocommento">
    <w:name w:val="annotation text"/>
    <w:basedOn w:val="Normale"/>
    <w:link w:val="TestocommentoCarattere5"/>
    <w:rsid w:val="002558B3"/>
    <w:pPr>
      <w:widowControl w:val="0"/>
      <w:autoSpaceDN w:val="0"/>
      <w:spacing w:after="0" w:line="240" w:lineRule="auto"/>
      <w:jc w:val="left"/>
      <w:textAlignment w:val="baseline"/>
    </w:pPr>
    <w:rPr>
      <w:rFonts w:ascii="Calibri" w:eastAsia="SimSun" w:hAnsi="Calibri" w:cs="F"/>
      <w:kern w:val="3"/>
      <w:szCs w:val="20"/>
      <w:lang w:eastAsia="it-IT"/>
    </w:rPr>
  </w:style>
  <w:style w:type="character" w:customStyle="1" w:styleId="TestocommentoCarattere5">
    <w:name w:val="Testo commento Carattere5"/>
    <w:link w:val="Testocommento"/>
    <w:rsid w:val="002558B3"/>
    <w:rPr>
      <w:rFonts w:ascii="Calibri" w:eastAsia="SimSun" w:hAnsi="Calibri" w:cs="F"/>
      <w:kern w:val="3"/>
    </w:rPr>
  </w:style>
  <w:style w:type="numbering" w:customStyle="1" w:styleId="WWNum1">
    <w:name w:val="WWNum1"/>
    <w:basedOn w:val="Nessunelenco"/>
    <w:rsid w:val="002558B3"/>
    <w:pPr>
      <w:numPr>
        <w:numId w:val="11"/>
      </w:numPr>
    </w:pPr>
  </w:style>
  <w:style w:type="numbering" w:customStyle="1" w:styleId="WWNum2">
    <w:name w:val="WWNum2"/>
    <w:basedOn w:val="Nessunelenco"/>
    <w:rsid w:val="002558B3"/>
    <w:pPr>
      <w:numPr>
        <w:numId w:val="12"/>
      </w:numPr>
    </w:pPr>
  </w:style>
  <w:style w:type="numbering" w:customStyle="1" w:styleId="WWNum3">
    <w:name w:val="WWNum3"/>
    <w:basedOn w:val="Nessunelenco"/>
    <w:rsid w:val="002558B3"/>
    <w:pPr>
      <w:numPr>
        <w:numId w:val="13"/>
      </w:numPr>
    </w:pPr>
  </w:style>
  <w:style w:type="numbering" w:customStyle="1" w:styleId="WWNum4">
    <w:name w:val="WWNum4"/>
    <w:basedOn w:val="Nessunelenco"/>
    <w:rsid w:val="002558B3"/>
    <w:pPr>
      <w:numPr>
        <w:numId w:val="14"/>
      </w:numPr>
    </w:pPr>
  </w:style>
  <w:style w:type="numbering" w:customStyle="1" w:styleId="WWNum5">
    <w:name w:val="WWNum5"/>
    <w:basedOn w:val="Nessunelenco"/>
    <w:rsid w:val="002558B3"/>
    <w:pPr>
      <w:numPr>
        <w:numId w:val="15"/>
      </w:numPr>
    </w:pPr>
  </w:style>
  <w:style w:type="numbering" w:customStyle="1" w:styleId="WWNum6">
    <w:name w:val="WWNum6"/>
    <w:basedOn w:val="Nessunelenco"/>
    <w:rsid w:val="002558B3"/>
    <w:pPr>
      <w:numPr>
        <w:numId w:val="16"/>
      </w:numPr>
    </w:pPr>
  </w:style>
  <w:style w:type="numbering" w:customStyle="1" w:styleId="WWNum7">
    <w:name w:val="WWNum7"/>
    <w:basedOn w:val="Nessunelenco"/>
    <w:rsid w:val="002558B3"/>
    <w:pPr>
      <w:numPr>
        <w:numId w:val="17"/>
      </w:numPr>
    </w:pPr>
  </w:style>
  <w:style w:type="numbering" w:customStyle="1" w:styleId="WWNum8">
    <w:name w:val="WWNum8"/>
    <w:basedOn w:val="Nessunelenco"/>
    <w:rsid w:val="002558B3"/>
    <w:pPr>
      <w:numPr>
        <w:numId w:val="18"/>
      </w:numPr>
    </w:pPr>
  </w:style>
  <w:style w:type="numbering" w:customStyle="1" w:styleId="WWNum9">
    <w:name w:val="WWNum9"/>
    <w:basedOn w:val="Nessunelenco"/>
    <w:rsid w:val="002558B3"/>
    <w:pPr>
      <w:numPr>
        <w:numId w:val="19"/>
      </w:numPr>
    </w:pPr>
  </w:style>
  <w:style w:type="numbering" w:customStyle="1" w:styleId="WWNum10">
    <w:name w:val="WWNum10"/>
    <w:basedOn w:val="Nessunelenco"/>
    <w:rsid w:val="002558B3"/>
    <w:pPr>
      <w:numPr>
        <w:numId w:val="20"/>
      </w:numPr>
    </w:pPr>
  </w:style>
  <w:style w:type="numbering" w:customStyle="1" w:styleId="WWNum11">
    <w:name w:val="WWNum11"/>
    <w:basedOn w:val="Nessunelenco"/>
    <w:rsid w:val="002558B3"/>
    <w:pPr>
      <w:numPr>
        <w:numId w:val="21"/>
      </w:numPr>
    </w:pPr>
  </w:style>
  <w:style w:type="numbering" w:customStyle="1" w:styleId="WWNum12">
    <w:name w:val="WWNum12"/>
    <w:basedOn w:val="Nessunelenco"/>
    <w:rsid w:val="002558B3"/>
    <w:pPr>
      <w:numPr>
        <w:numId w:val="22"/>
      </w:numPr>
    </w:pPr>
  </w:style>
  <w:style w:type="numbering" w:customStyle="1" w:styleId="WWNum13">
    <w:name w:val="WWNum13"/>
    <w:basedOn w:val="Nessunelenco"/>
    <w:rsid w:val="002558B3"/>
    <w:pPr>
      <w:numPr>
        <w:numId w:val="23"/>
      </w:numPr>
    </w:pPr>
  </w:style>
  <w:style w:type="numbering" w:customStyle="1" w:styleId="WWNum14">
    <w:name w:val="WWNum14"/>
    <w:basedOn w:val="Nessunelenco"/>
    <w:rsid w:val="002558B3"/>
    <w:pPr>
      <w:numPr>
        <w:numId w:val="24"/>
      </w:numPr>
    </w:pPr>
  </w:style>
  <w:style w:type="numbering" w:customStyle="1" w:styleId="WWNum15">
    <w:name w:val="WWNum15"/>
    <w:basedOn w:val="Nessunelenco"/>
    <w:rsid w:val="002558B3"/>
    <w:pPr>
      <w:numPr>
        <w:numId w:val="25"/>
      </w:numPr>
    </w:pPr>
  </w:style>
  <w:style w:type="numbering" w:customStyle="1" w:styleId="WWNum16">
    <w:name w:val="WWNum16"/>
    <w:basedOn w:val="Nessunelenco"/>
    <w:rsid w:val="002558B3"/>
    <w:pPr>
      <w:numPr>
        <w:numId w:val="26"/>
      </w:numPr>
    </w:pPr>
  </w:style>
  <w:style w:type="numbering" w:customStyle="1" w:styleId="WWNum17">
    <w:name w:val="WWNum17"/>
    <w:basedOn w:val="Nessunelenco"/>
    <w:rsid w:val="002558B3"/>
    <w:pPr>
      <w:numPr>
        <w:numId w:val="27"/>
      </w:numPr>
    </w:pPr>
  </w:style>
  <w:style w:type="numbering" w:customStyle="1" w:styleId="WWNum18">
    <w:name w:val="WWNum18"/>
    <w:basedOn w:val="Nessunelenco"/>
    <w:rsid w:val="002558B3"/>
    <w:pPr>
      <w:numPr>
        <w:numId w:val="28"/>
      </w:numPr>
    </w:pPr>
  </w:style>
  <w:style w:type="character" w:styleId="Menzionenonrisolta">
    <w:name w:val="Unresolved Mention"/>
    <w:basedOn w:val="Carpredefinitoparagrafo"/>
    <w:uiPriority w:val="99"/>
    <w:semiHidden/>
    <w:unhideWhenUsed/>
    <w:rsid w:val="00E74A8D"/>
    <w:rPr>
      <w:color w:val="605E5C"/>
      <w:shd w:val="clear" w:color="auto" w:fill="E1DFDD"/>
    </w:rPr>
  </w:style>
  <w:style w:type="table" w:styleId="Grigliatabella">
    <w:name w:val="Table Grid"/>
    <w:basedOn w:val="Tabellanormale"/>
    <w:uiPriority w:val="39"/>
    <w:rsid w:val="004B3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9133">
      <w:bodyDiv w:val="1"/>
      <w:marLeft w:val="0"/>
      <w:marRight w:val="0"/>
      <w:marTop w:val="0"/>
      <w:marBottom w:val="0"/>
      <w:divBdr>
        <w:top w:val="none" w:sz="0" w:space="0" w:color="auto"/>
        <w:left w:val="none" w:sz="0" w:space="0" w:color="auto"/>
        <w:bottom w:val="none" w:sz="0" w:space="0" w:color="auto"/>
        <w:right w:val="none" w:sz="0" w:space="0" w:color="auto"/>
      </w:divBdr>
    </w:div>
    <w:div w:id="113324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fiscoetasse.com" TargetMode="External"/><Relationship Id="rId18" Type="http://schemas.openxmlformats.org/officeDocument/2006/relationships/comments" Target="comments.xml"/><Relationship Id="rId26" Type="http://schemas.openxmlformats.org/officeDocument/2006/relationships/hyperlink" Target="https://www.fiscoetasse.com/download-file/15562/nota-inl-dcgiurica-393-01032022-nuove-faq-comunicazioni-collaboratori-occasionali" TargetMode="External"/><Relationship Id="rId39" Type="http://schemas.openxmlformats.org/officeDocument/2006/relationships/hyperlink" Target="https://www.fiscoetasse.com/files/13541/circolare-inps-03-gennaio-2022-numero-1.pdf" TargetMode="External"/><Relationship Id="rId3" Type="http://schemas.openxmlformats.org/officeDocument/2006/relationships/styles" Target="styles.xml"/><Relationship Id="rId21" Type="http://schemas.microsoft.com/office/2018/08/relationships/commentsExtensible" Target="commentsExtensible.xml"/><Relationship Id="rId34" Type="http://schemas.openxmlformats.org/officeDocument/2006/relationships/hyperlink" Target="https://www.fiscoetasse.com/download-file/13568/nota-inl-29-dell-11-gennaio-2022" TargetMode="External"/><Relationship Id="rId42" Type="http://schemas.openxmlformats.org/officeDocument/2006/relationships/hyperlink" Target="https://www.fiscoetasse.com/download-file/15563/circolare-numero-65-del-30-05-2022-1" TargetMode="External"/><Relationship Id="rId47" Type="http://schemas.openxmlformats.org/officeDocument/2006/relationships/hyperlink" Target="https://www.fiscoetasse.com/download-file/13971/770-istr-202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fiscoetasse.com/download-file/13568/nota-inl-29-dell-11-gennaio-2022" TargetMode="External"/><Relationship Id="rId33" Type="http://schemas.openxmlformats.org/officeDocument/2006/relationships/hyperlink" Target="mailto:intermittenti@pec.lavoro.gov.it" TargetMode="External"/><Relationship Id="rId38" Type="http://schemas.openxmlformats.org/officeDocument/2006/relationships/hyperlink" Target="https://www.fiscoetasse.com/files/13530/legge-bilancio-2022-gazzetta-ufficiale-31-12-21.pdf" TargetMode="External"/><Relationship Id="rId46" Type="http://schemas.openxmlformats.org/officeDocument/2006/relationships/hyperlink" Target="https://www.fiscoetasse.com/download-file/13970/cu-istr-2022" TargetMode="Externa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29" Type="http://schemas.openxmlformats.org/officeDocument/2006/relationships/image" Target="media/image6.png"/><Relationship Id="rId41" Type="http://schemas.openxmlformats.org/officeDocument/2006/relationships/hyperlink" Target="https://www.fiscoetasse.com/files/13543/tabelle-anf-2021-2022.x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iscoetasse.com/files/13487/decreto-legge-146-2021-testo-coordinato.pdf" TargetMode="External"/><Relationship Id="rId32" Type="http://schemas.openxmlformats.org/officeDocument/2006/relationships/hyperlink" Target="https://www.fiscoetasse.com/files/13538/uni-intermittenti.pdf" TargetMode="External"/><Relationship Id="rId37" Type="http://schemas.openxmlformats.org/officeDocument/2006/relationships/hyperlink" Target="https://www.fiscoetasse.com/files/13540/manuale-software-controllo-uniemens.pdf" TargetMode="External"/><Relationship Id="rId40" Type="http://schemas.openxmlformats.org/officeDocument/2006/relationships/hyperlink" Target="https://www.fiscoetasse.com/files/13542/messaggio-inps-17-giugno-2021-numero-2331.pdf" TargetMode="External"/><Relationship Id="rId45" Type="http://schemas.openxmlformats.org/officeDocument/2006/relationships/hyperlink" Target="https://www.fiscoetasse.com/files/13548/risoluzione-agenzia-entrate-11-luglio-2013-numero-49.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fiscoetasse.com/files/13536/nota-itl-22-maggio-2018-numero-4538.pdf" TargetMode="External"/><Relationship Id="rId28" Type="http://schemas.openxmlformats.org/officeDocument/2006/relationships/image" Target="media/image5.png"/><Relationship Id="rId36" Type="http://schemas.openxmlformats.org/officeDocument/2006/relationships/hyperlink" Target="https://www.fiscoetasse.com/files/13539/documento-tecnico-uniemens.pdf" TargetMode="External"/><Relationship Id="rId49" Type="http://schemas.openxmlformats.org/officeDocument/2006/relationships/hyperlink" Target="https://www.fiscoetasse.com/download-file/13963/circolare-n-4-18-febbraio-2022" TargetMode="External"/><Relationship Id="rId10" Type="http://schemas.openxmlformats.org/officeDocument/2006/relationships/image" Target="media/image1.png"/><Relationship Id="rId19" Type="http://schemas.microsoft.com/office/2011/relationships/commentsExtended" Target="commentsExtended.xml"/><Relationship Id="rId31" Type="http://schemas.openxmlformats.org/officeDocument/2006/relationships/hyperlink" Target="https://www.fiscoetasse.com/download-file/15561/inl-nota-22-aprile-2022-comunicazioni-lavoratori-occasionali-modalita-prot" TargetMode="External"/><Relationship Id="rId44" Type="http://schemas.openxmlformats.org/officeDocument/2006/relationships/hyperlink" Target="https://www.fiscoetasse.com/files/13547/circolare-inps-30-giugno-2021-numero-92.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fiscoetasse.com/files/13535/circolare-inps-06-luglio-2004-numero-103.pdf" TargetMode="External"/><Relationship Id="rId27" Type="http://schemas.openxmlformats.org/officeDocument/2006/relationships/image" Target="media/image4.png"/><Relationship Id="rId30" Type="http://schemas.openxmlformats.org/officeDocument/2006/relationships/hyperlink" Target="https://www.fiscoetasse.com/download-file/15560/nota-inl-dc-giuridica-573-28032022-comunicazioni-lavoratori-occasionali" TargetMode="External"/><Relationship Id="rId35" Type="http://schemas.openxmlformats.org/officeDocument/2006/relationships/hyperlink" Target="https://www.fiscoetasse.com/download-file/13962/circolare-numero-25-del-11-02-2022" TargetMode="External"/><Relationship Id="rId43" Type="http://schemas.openxmlformats.org/officeDocument/2006/relationships/hyperlink" Target="https://www.fiscoetasse.com/download-file/15564/circolare-numero-65-del-30-05-2022-allegato-n-1" TargetMode="External"/><Relationship Id="rId48" Type="http://schemas.openxmlformats.org/officeDocument/2006/relationships/hyperlink" Target="https://www.fiscoetasse.com/download-file/13974/730-2022-istruzioni" TargetMode="External"/><Relationship Id="rId8" Type="http://schemas.openxmlformats.org/officeDocument/2006/relationships/header" Target="header1.xml"/><Relationship Id="rId51"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D8EFD-8403-43E9-9C6B-96666E1A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31060</Words>
  <Characters>177043</Characters>
  <Application>Microsoft Office Word</Application>
  <DocSecurity>0</DocSecurity>
  <Lines>1475</Lines>
  <Paragraphs>415</Paragraphs>
  <ScaleCrop>false</ScaleCrop>
  <HeadingPairs>
    <vt:vector size="2" baseType="variant">
      <vt:variant>
        <vt:lpstr>Titolo</vt:lpstr>
      </vt:variant>
      <vt:variant>
        <vt:i4>1</vt:i4>
      </vt:variant>
    </vt:vector>
  </HeadingPairs>
  <TitlesOfParts>
    <vt:vector size="1" baseType="lpstr">
      <vt:lpstr>Guida completa dopo la legge di bilancio 2023</vt:lpstr>
    </vt:vector>
  </TitlesOfParts>
  <Company/>
  <LinksUpToDate>false</LinksUpToDate>
  <CharactersWithSpaces>207688</CharactersWithSpaces>
  <SharedDoc>false</SharedDoc>
  <HLinks>
    <vt:vector size="966" baseType="variant">
      <vt:variant>
        <vt:i4>6357047</vt:i4>
      </vt:variant>
      <vt:variant>
        <vt:i4>885</vt:i4>
      </vt:variant>
      <vt:variant>
        <vt:i4>0</vt:i4>
      </vt:variant>
      <vt:variant>
        <vt:i4>5</vt:i4>
      </vt:variant>
      <vt:variant>
        <vt:lpwstr>https://www.fiscoetasse.com/files/13551/istruzioni-730-2021.pdf</vt:lpwstr>
      </vt:variant>
      <vt:variant>
        <vt:lpwstr/>
      </vt:variant>
      <vt:variant>
        <vt:i4>6357042</vt:i4>
      </vt:variant>
      <vt:variant>
        <vt:i4>882</vt:i4>
      </vt:variant>
      <vt:variant>
        <vt:i4>0</vt:i4>
      </vt:variant>
      <vt:variant>
        <vt:i4>5</vt:i4>
      </vt:variant>
      <vt:variant>
        <vt:lpwstr>https://www.fiscoetasse.com/files/13550/istruzioni-770-2021.pdf</vt:lpwstr>
      </vt:variant>
      <vt:variant>
        <vt:lpwstr/>
      </vt:variant>
      <vt:variant>
        <vt:i4>7602287</vt:i4>
      </vt:variant>
      <vt:variant>
        <vt:i4>879</vt:i4>
      </vt:variant>
      <vt:variant>
        <vt:i4>0</vt:i4>
      </vt:variant>
      <vt:variant>
        <vt:i4>5</vt:i4>
      </vt:variant>
      <vt:variant>
        <vt:lpwstr>https://www.fiscoetasse.com/files/13549/istruzioni-cu-2021.pdf</vt:lpwstr>
      </vt:variant>
      <vt:variant>
        <vt:lpwstr/>
      </vt:variant>
      <vt:variant>
        <vt:i4>983105</vt:i4>
      </vt:variant>
      <vt:variant>
        <vt:i4>876</vt:i4>
      </vt:variant>
      <vt:variant>
        <vt:i4>0</vt:i4>
      </vt:variant>
      <vt:variant>
        <vt:i4>5</vt:i4>
      </vt:variant>
      <vt:variant>
        <vt:lpwstr>https://www.fiscoetasse.com/files/13548/risoluzione-agenzia-entrate-11-luglio-2013-numero-49.pdf</vt:lpwstr>
      </vt:variant>
      <vt:variant>
        <vt:lpwstr/>
      </vt:variant>
      <vt:variant>
        <vt:i4>2752556</vt:i4>
      </vt:variant>
      <vt:variant>
        <vt:i4>873</vt:i4>
      </vt:variant>
      <vt:variant>
        <vt:i4>0</vt:i4>
      </vt:variant>
      <vt:variant>
        <vt:i4>5</vt:i4>
      </vt:variant>
      <vt:variant>
        <vt:lpwstr>https://www.fiscoetasse.com/files/13547/circolare-inps-30-giugno-2021-numero-92.pdf</vt:lpwstr>
      </vt:variant>
      <vt:variant>
        <vt:lpwstr/>
      </vt:variant>
      <vt:variant>
        <vt:i4>1376343</vt:i4>
      </vt:variant>
      <vt:variant>
        <vt:i4>870</vt:i4>
      </vt:variant>
      <vt:variant>
        <vt:i4>0</vt:i4>
      </vt:variant>
      <vt:variant>
        <vt:i4>5</vt:i4>
      </vt:variant>
      <vt:variant>
        <vt:lpwstr>https://www.fiscoetasse.com/files/13543/tabelle-anf-2021-2022.xls</vt:lpwstr>
      </vt:variant>
      <vt:variant>
        <vt:lpwstr/>
      </vt:variant>
      <vt:variant>
        <vt:i4>1835027</vt:i4>
      </vt:variant>
      <vt:variant>
        <vt:i4>867</vt:i4>
      </vt:variant>
      <vt:variant>
        <vt:i4>0</vt:i4>
      </vt:variant>
      <vt:variant>
        <vt:i4>5</vt:i4>
      </vt:variant>
      <vt:variant>
        <vt:lpwstr>https://www.fiscoetasse.com/files/13542/messaggio-inps-17-giugno-2021-numero-2331.pdf</vt:lpwstr>
      </vt:variant>
      <vt:variant>
        <vt:lpwstr/>
      </vt:variant>
      <vt:variant>
        <vt:i4>3276915</vt:i4>
      </vt:variant>
      <vt:variant>
        <vt:i4>864</vt:i4>
      </vt:variant>
      <vt:variant>
        <vt:i4>0</vt:i4>
      </vt:variant>
      <vt:variant>
        <vt:i4>5</vt:i4>
      </vt:variant>
      <vt:variant>
        <vt:lpwstr>https://www.fiscoetasse.com/files/13541/circolare-inps-03-gennaio-2022-numero-1.pdf</vt:lpwstr>
      </vt:variant>
      <vt:variant>
        <vt:lpwstr/>
      </vt:variant>
      <vt:variant>
        <vt:i4>8323129</vt:i4>
      </vt:variant>
      <vt:variant>
        <vt:i4>861</vt:i4>
      </vt:variant>
      <vt:variant>
        <vt:i4>0</vt:i4>
      </vt:variant>
      <vt:variant>
        <vt:i4>5</vt:i4>
      </vt:variant>
      <vt:variant>
        <vt:lpwstr>https://www.fiscoetasse.com/files/13530/legge-bilancio-2022-gazzetta-ufficiale-31-12-21.pdf</vt:lpwstr>
      </vt:variant>
      <vt:variant>
        <vt:lpwstr/>
      </vt:variant>
      <vt:variant>
        <vt:i4>3342457</vt:i4>
      </vt:variant>
      <vt:variant>
        <vt:i4>858</vt:i4>
      </vt:variant>
      <vt:variant>
        <vt:i4>0</vt:i4>
      </vt:variant>
      <vt:variant>
        <vt:i4>5</vt:i4>
      </vt:variant>
      <vt:variant>
        <vt:lpwstr>https://www.fiscoetasse.com/files/13540/manuale-software-controllo-uniemens.pdf</vt:lpwstr>
      </vt:variant>
      <vt:variant>
        <vt:lpwstr/>
      </vt:variant>
      <vt:variant>
        <vt:i4>4128829</vt:i4>
      </vt:variant>
      <vt:variant>
        <vt:i4>855</vt:i4>
      </vt:variant>
      <vt:variant>
        <vt:i4>0</vt:i4>
      </vt:variant>
      <vt:variant>
        <vt:i4>5</vt:i4>
      </vt:variant>
      <vt:variant>
        <vt:lpwstr>https://www.fiscoetasse.com/files/13539/documento-tecnico-uniemens.pdf</vt:lpwstr>
      </vt:variant>
      <vt:variant>
        <vt:lpwstr/>
      </vt:variant>
      <vt:variant>
        <vt:i4>5439492</vt:i4>
      </vt:variant>
      <vt:variant>
        <vt:i4>852</vt:i4>
      </vt:variant>
      <vt:variant>
        <vt:i4>0</vt:i4>
      </vt:variant>
      <vt:variant>
        <vt:i4>5</vt:i4>
      </vt:variant>
      <vt:variant>
        <vt:lpwstr>https://www.fiscoetasse.com/files/11427/circolare-inps-12-05-02-2021.pdf</vt:lpwstr>
      </vt:variant>
      <vt:variant>
        <vt:lpwstr/>
      </vt:variant>
      <vt:variant>
        <vt:i4>1179659</vt:i4>
      </vt:variant>
      <vt:variant>
        <vt:i4>849</vt:i4>
      </vt:variant>
      <vt:variant>
        <vt:i4>0</vt:i4>
      </vt:variant>
      <vt:variant>
        <vt:i4>5</vt:i4>
      </vt:variant>
      <vt:variant>
        <vt:lpwstr>https://www.fiscoetasse.com/download-file/13568/nota-inl-29-dell-11-gennaio-2022</vt:lpwstr>
      </vt:variant>
      <vt:variant>
        <vt:lpwstr/>
      </vt:variant>
      <vt:variant>
        <vt:i4>7798875</vt:i4>
      </vt:variant>
      <vt:variant>
        <vt:i4>846</vt:i4>
      </vt:variant>
      <vt:variant>
        <vt:i4>0</vt:i4>
      </vt:variant>
      <vt:variant>
        <vt:i4>5</vt:i4>
      </vt:variant>
      <vt:variant>
        <vt:lpwstr>mailto:intermittenti@pec.lavoro.gov.it</vt:lpwstr>
      </vt:variant>
      <vt:variant>
        <vt:lpwstr/>
      </vt:variant>
      <vt:variant>
        <vt:i4>6094858</vt:i4>
      </vt:variant>
      <vt:variant>
        <vt:i4>843</vt:i4>
      </vt:variant>
      <vt:variant>
        <vt:i4>0</vt:i4>
      </vt:variant>
      <vt:variant>
        <vt:i4>5</vt:i4>
      </vt:variant>
      <vt:variant>
        <vt:lpwstr>https://www.fiscoetasse.com/files/13538/uni-intermittenti.pdf</vt:lpwstr>
      </vt:variant>
      <vt:variant>
        <vt:lpwstr/>
      </vt:variant>
      <vt:variant>
        <vt:i4>1179659</vt:i4>
      </vt:variant>
      <vt:variant>
        <vt:i4>840</vt:i4>
      </vt:variant>
      <vt:variant>
        <vt:i4>0</vt:i4>
      </vt:variant>
      <vt:variant>
        <vt:i4>5</vt:i4>
      </vt:variant>
      <vt:variant>
        <vt:lpwstr>https://www.fiscoetasse.com/download-file/13568/nota-inl-29-dell-11-gennaio-2022</vt:lpwstr>
      </vt:variant>
      <vt:variant>
        <vt:lpwstr/>
      </vt:variant>
      <vt:variant>
        <vt:i4>7667810</vt:i4>
      </vt:variant>
      <vt:variant>
        <vt:i4>837</vt:i4>
      </vt:variant>
      <vt:variant>
        <vt:i4>0</vt:i4>
      </vt:variant>
      <vt:variant>
        <vt:i4>5</vt:i4>
      </vt:variant>
      <vt:variant>
        <vt:lpwstr>https://www.fiscoetasse.com/files/13487/decreto-legge-146-2021-testo-coordinato.pdf</vt:lpwstr>
      </vt:variant>
      <vt:variant>
        <vt:lpwstr/>
      </vt:variant>
      <vt:variant>
        <vt:i4>3538982</vt:i4>
      </vt:variant>
      <vt:variant>
        <vt:i4>834</vt:i4>
      </vt:variant>
      <vt:variant>
        <vt:i4>0</vt:i4>
      </vt:variant>
      <vt:variant>
        <vt:i4>5</vt:i4>
      </vt:variant>
      <vt:variant>
        <vt:lpwstr>https://www.fiscoetasse.com/files/13536/nota-itl-22-maggio-2018-numero-4538.pdf</vt:lpwstr>
      </vt:variant>
      <vt:variant>
        <vt:lpwstr/>
      </vt:variant>
      <vt:variant>
        <vt:i4>6029323</vt:i4>
      </vt:variant>
      <vt:variant>
        <vt:i4>831</vt:i4>
      </vt:variant>
      <vt:variant>
        <vt:i4>0</vt:i4>
      </vt:variant>
      <vt:variant>
        <vt:i4>5</vt:i4>
      </vt:variant>
      <vt:variant>
        <vt:lpwstr>https://www.fiscoetasse.com/files/13535/circolare-inps-06-luglio-2004-numero-103.pdf</vt:lpwstr>
      </vt:variant>
      <vt:variant>
        <vt:lpwstr/>
      </vt:variant>
      <vt:variant>
        <vt:i4>1638453</vt:i4>
      </vt:variant>
      <vt:variant>
        <vt:i4>824</vt:i4>
      </vt:variant>
      <vt:variant>
        <vt:i4>0</vt:i4>
      </vt:variant>
      <vt:variant>
        <vt:i4>5</vt:i4>
      </vt:variant>
      <vt:variant>
        <vt:lpwstr/>
      </vt:variant>
      <vt:variant>
        <vt:lpwstr>_Toc92709925</vt:lpwstr>
      </vt:variant>
      <vt:variant>
        <vt:i4>1572917</vt:i4>
      </vt:variant>
      <vt:variant>
        <vt:i4>818</vt:i4>
      </vt:variant>
      <vt:variant>
        <vt:i4>0</vt:i4>
      </vt:variant>
      <vt:variant>
        <vt:i4>5</vt:i4>
      </vt:variant>
      <vt:variant>
        <vt:lpwstr/>
      </vt:variant>
      <vt:variant>
        <vt:lpwstr>_Toc92709924</vt:lpwstr>
      </vt:variant>
      <vt:variant>
        <vt:i4>2031669</vt:i4>
      </vt:variant>
      <vt:variant>
        <vt:i4>812</vt:i4>
      </vt:variant>
      <vt:variant>
        <vt:i4>0</vt:i4>
      </vt:variant>
      <vt:variant>
        <vt:i4>5</vt:i4>
      </vt:variant>
      <vt:variant>
        <vt:lpwstr/>
      </vt:variant>
      <vt:variant>
        <vt:lpwstr>_Toc92709923</vt:lpwstr>
      </vt:variant>
      <vt:variant>
        <vt:i4>1966133</vt:i4>
      </vt:variant>
      <vt:variant>
        <vt:i4>806</vt:i4>
      </vt:variant>
      <vt:variant>
        <vt:i4>0</vt:i4>
      </vt:variant>
      <vt:variant>
        <vt:i4>5</vt:i4>
      </vt:variant>
      <vt:variant>
        <vt:lpwstr/>
      </vt:variant>
      <vt:variant>
        <vt:lpwstr>_Toc92709922</vt:lpwstr>
      </vt:variant>
      <vt:variant>
        <vt:i4>1900597</vt:i4>
      </vt:variant>
      <vt:variant>
        <vt:i4>800</vt:i4>
      </vt:variant>
      <vt:variant>
        <vt:i4>0</vt:i4>
      </vt:variant>
      <vt:variant>
        <vt:i4>5</vt:i4>
      </vt:variant>
      <vt:variant>
        <vt:lpwstr/>
      </vt:variant>
      <vt:variant>
        <vt:lpwstr>_Toc92709921</vt:lpwstr>
      </vt:variant>
      <vt:variant>
        <vt:i4>1835061</vt:i4>
      </vt:variant>
      <vt:variant>
        <vt:i4>794</vt:i4>
      </vt:variant>
      <vt:variant>
        <vt:i4>0</vt:i4>
      </vt:variant>
      <vt:variant>
        <vt:i4>5</vt:i4>
      </vt:variant>
      <vt:variant>
        <vt:lpwstr/>
      </vt:variant>
      <vt:variant>
        <vt:lpwstr>_Toc92709920</vt:lpwstr>
      </vt:variant>
      <vt:variant>
        <vt:i4>1376310</vt:i4>
      </vt:variant>
      <vt:variant>
        <vt:i4>788</vt:i4>
      </vt:variant>
      <vt:variant>
        <vt:i4>0</vt:i4>
      </vt:variant>
      <vt:variant>
        <vt:i4>5</vt:i4>
      </vt:variant>
      <vt:variant>
        <vt:lpwstr/>
      </vt:variant>
      <vt:variant>
        <vt:lpwstr>_Toc92709919</vt:lpwstr>
      </vt:variant>
      <vt:variant>
        <vt:i4>1310774</vt:i4>
      </vt:variant>
      <vt:variant>
        <vt:i4>782</vt:i4>
      </vt:variant>
      <vt:variant>
        <vt:i4>0</vt:i4>
      </vt:variant>
      <vt:variant>
        <vt:i4>5</vt:i4>
      </vt:variant>
      <vt:variant>
        <vt:lpwstr/>
      </vt:variant>
      <vt:variant>
        <vt:lpwstr>_Toc92709918</vt:lpwstr>
      </vt:variant>
      <vt:variant>
        <vt:i4>1769526</vt:i4>
      </vt:variant>
      <vt:variant>
        <vt:i4>776</vt:i4>
      </vt:variant>
      <vt:variant>
        <vt:i4>0</vt:i4>
      </vt:variant>
      <vt:variant>
        <vt:i4>5</vt:i4>
      </vt:variant>
      <vt:variant>
        <vt:lpwstr/>
      </vt:variant>
      <vt:variant>
        <vt:lpwstr>_Toc92709917</vt:lpwstr>
      </vt:variant>
      <vt:variant>
        <vt:i4>1703990</vt:i4>
      </vt:variant>
      <vt:variant>
        <vt:i4>770</vt:i4>
      </vt:variant>
      <vt:variant>
        <vt:i4>0</vt:i4>
      </vt:variant>
      <vt:variant>
        <vt:i4>5</vt:i4>
      </vt:variant>
      <vt:variant>
        <vt:lpwstr/>
      </vt:variant>
      <vt:variant>
        <vt:lpwstr>_Toc92709916</vt:lpwstr>
      </vt:variant>
      <vt:variant>
        <vt:i4>1638454</vt:i4>
      </vt:variant>
      <vt:variant>
        <vt:i4>764</vt:i4>
      </vt:variant>
      <vt:variant>
        <vt:i4>0</vt:i4>
      </vt:variant>
      <vt:variant>
        <vt:i4>5</vt:i4>
      </vt:variant>
      <vt:variant>
        <vt:lpwstr/>
      </vt:variant>
      <vt:variant>
        <vt:lpwstr>_Toc92709915</vt:lpwstr>
      </vt:variant>
      <vt:variant>
        <vt:i4>1572918</vt:i4>
      </vt:variant>
      <vt:variant>
        <vt:i4>758</vt:i4>
      </vt:variant>
      <vt:variant>
        <vt:i4>0</vt:i4>
      </vt:variant>
      <vt:variant>
        <vt:i4>5</vt:i4>
      </vt:variant>
      <vt:variant>
        <vt:lpwstr/>
      </vt:variant>
      <vt:variant>
        <vt:lpwstr>_Toc92709914</vt:lpwstr>
      </vt:variant>
      <vt:variant>
        <vt:i4>2031670</vt:i4>
      </vt:variant>
      <vt:variant>
        <vt:i4>752</vt:i4>
      </vt:variant>
      <vt:variant>
        <vt:i4>0</vt:i4>
      </vt:variant>
      <vt:variant>
        <vt:i4>5</vt:i4>
      </vt:variant>
      <vt:variant>
        <vt:lpwstr/>
      </vt:variant>
      <vt:variant>
        <vt:lpwstr>_Toc92709913</vt:lpwstr>
      </vt:variant>
      <vt:variant>
        <vt:i4>1966134</vt:i4>
      </vt:variant>
      <vt:variant>
        <vt:i4>746</vt:i4>
      </vt:variant>
      <vt:variant>
        <vt:i4>0</vt:i4>
      </vt:variant>
      <vt:variant>
        <vt:i4>5</vt:i4>
      </vt:variant>
      <vt:variant>
        <vt:lpwstr/>
      </vt:variant>
      <vt:variant>
        <vt:lpwstr>_Toc92709912</vt:lpwstr>
      </vt:variant>
      <vt:variant>
        <vt:i4>1900598</vt:i4>
      </vt:variant>
      <vt:variant>
        <vt:i4>740</vt:i4>
      </vt:variant>
      <vt:variant>
        <vt:i4>0</vt:i4>
      </vt:variant>
      <vt:variant>
        <vt:i4>5</vt:i4>
      </vt:variant>
      <vt:variant>
        <vt:lpwstr/>
      </vt:variant>
      <vt:variant>
        <vt:lpwstr>_Toc92709911</vt:lpwstr>
      </vt:variant>
      <vt:variant>
        <vt:i4>1835062</vt:i4>
      </vt:variant>
      <vt:variant>
        <vt:i4>734</vt:i4>
      </vt:variant>
      <vt:variant>
        <vt:i4>0</vt:i4>
      </vt:variant>
      <vt:variant>
        <vt:i4>5</vt:i4>
      </vt:variant>
      <vt:variant>
        <vt:lpwstr/>
      </vt:variant>
      <vt:variant>
        <vt:lpwstr>_Toc92709910</vt:lpwstr>
      </vt:variant>
      <vt:variant>
        <vt:i4>1376311</vt:i4>
      </vt:variant>
      <vt:variant>
        <vt:i4>728</vt:i4>
      </vt:variant>
      <vt:variant>
        <vt:i4>0</vt:i4>
      </vt:variant>
      <vt:variant>
        <vt:i4>5</vt:i4>
      </vt:variant>
      <vt:variant>
        <vt:lpwstr/>
      </vt:variant>
      <vt:variant>
        <vt:lpwstr>_Toc92709909</vt:lpwstr>
      </vt:variant>
      <vt:variant>
        <vt:i4>1310775</vt:i4>
      </vt:variant>
      <vt:variant>
        <vt:i4>722</vt:i4>
      </vt:variant>
      <vt:variant>
        <vt:i4>0</vt:i4>
      </vt:variant>
      <vt:variant>
        <vt:i4>5</vt:i4>
      </vt:variant>
      <vt:variant>
        <vt:lpwstr/>
      </vt:variant>
      <vt:variant>
        <vt:lpwstr>_Toc92709908</vt:lpwstr>
      </vt:variant>
      <vt:variant>
        <vt:i4>1769527</vt:i4>
      </vt:variant>
      <vt:variant>
        <vt:i4>716</vt:i4>
      </vt:variant>
      <vt:variant>
        <vt:i4>0</vt:i4>
      </vt:variant>
      <vt:variant>
        <vt:i4>5</vt:i4>
      </vt:variant>
      <vt:variant>
        <vt:lpwstr/>
      </vt:variant>
      <vt:variant>
        <vt:lpwstr>_Toc92709907</vt:lpwstr>
      </vt:variant>
      <vt:variant>
        <vt:i4>1703991</vt:i4>
      </vt:variant>
      <vt:variant>
        <vt:i4>710</vt:i4>
      </vt:variant>
      <vt:variant>
        <vt:i4>0</vt:i4>
      </vt:variant>
      <vt:variant>
        <vt:i4>5</vt:i4>
      </vt:variant>
      <vt:variant>
        <vt:lpwstr/>
      </vt:variant>
      <vt:variant>
        <vt:lpwstr>_Toc92709906</vt:lpwstr>
      </vt:variant>
      <vt:variant>
        <vt:i4>1638455</vt:i4>
      </vt:variant>
      <vt:variant>
        <vt:i4>704</vt:i4>
      </vt:variant>
      <vt:variant>
        <vt:i4>0</vt:i4>
      </vt:variant>
      <vt:variant>
        <vt:i4>5</vt:i4>
      </vt:variant>
      <vt:variant>
        <vt:lpwstr/>
      </vt:variant>
      <vt:variant>
        <vt:lpwstr>_Toc92709905</vt:lpwstr>
      </vt:variant>
      <vt:variant>
        <vt:i4>1572919</vt:i4>
      </vt:variant>
      <vt:variant>
        <vt:i4>698</vt:i4>
      </vt:variant>
      <vt:variant>
        <vt:i4>0</vt:i4>
      </vt:variant>
      <vt:variant>
        <vt:i4>5</vt:i4>
      </vt:variant>
      <vt:variant>
        <vt:lpwstr/>
      </vt:variant>
      <vt:variant>
        <vt:lpwstr>_Toc92709904</vt:lpwstr>
      </vt:variant>
      <vt:variant>
        <vt:i4>2031671</vt:i4>
      </vt:variant>
      <vt:variant>
        <vt:i4>692</vt:i4>
      </vt:variant>
      <vt:variant>
        <vt:i4>0</vt:i4>
      </vt:variant>
      <vt:variant>
        <vt:i4>5</vt:i4>
      </vt:variant>
      <vt:variant>
        <vt:lpwstr/>
      </vt:variant>
      <vt:variant>
        <vt:lpwstr>_Toc92709903</vt:lpwstr>
      </vt:variant>
      <vt:variant>
        <vt:i4>1966135</vt:i4>
      </vt:variant>
      <vt:variant>
        <vt:i4>686</vt:i4>
      </vt:variant>
      <vt:variant>
        <vt:i4>0</vt:i4>
      </vt:variant>
      <vt:variant>
        <vt:i4>5</vt:i4>
      </vt:variant>
      <vt:variant>
        <vt:lpwstr/>
      </vt:variant>
      <vt:variant>
        <vt:lpwstr>_Toc92709902</vt:lpwstr>
      </vt:variant>
      <vt:variant>
        <vt:i4>1900599</vt:i4>
      </vt:variant>
      <vt:variant>
        <vt:i4>680</vt:i4>
      </vt:variant>
      <vt:variant>
        <vt:i4>0</vt:i4>
      </vt:variant>
      <vt:variant>
        <vt:i4>5</vt:i4>
      </vt:variant>
      <vt:variant>
        <vt:lpwstr/>
      </vt:variant>
      <vt:variant>
        <vt:lpwstr>_Toc92709901</vt:lpwstr>
      </vt:variant>
      <vt:variant>
        <vt:i4>1835063</vt:i4>
      </vt:variant>
      <vt:variant>
        <vt:i4>674</vt:i4>
      </vt:variant>
      <vt:variant>
        <vt:i4>0</vt:i4>
      </vt:variant>
      <vt:variant>
        <vt:i4>5</vt:i4>
      </vt:variant>
      <vt:variant>
        <vt:lpwstr/>
      </vt:variant>
      <vt:variant>
        <vt:lpwstr>_Toc92709900</vt:lpwstr>
      </vt:variant>
      <vt:variant>
        <vt:i4>1310782</vt:i4>
      </vt:variant>
      <vt:variant>
        <vt:i4>671</vt:i4>
      </vt:variant>
      <vt:variant>
        <vt:i4>0</vt:i4>
      </vt:variant>
      <vt:variant>
        <vt:i4>5</vt:i4>
      </vt:variant>
      <vt:variant>
        <vt:lpwstr/>
      </vt:variant>
      <vt:variant>
        <vt:lpwstr>_Toc92709899</vt:lpwstr>
      </vt:variant>
      <vt:variant>
        <vt:i4>1376318</vt:i4>
      </vt:variant>
      <vt:variant>
        <vt:i4>665</vt:i4>
      </vt:variant>
      <vt:variant>
        <vt:i4>0</vt:i4>
      </vt:variant>
      <vt:variant>
        <vt:i4>5</vt:i4>
      </vt:variant>
      <vt:variant>
        <vt:lpwstr/>
      </vt:variant>
      <vt:variant>
        <vt:lpwstr>_Toc92709898</vt:lpwstr>
      </vt:variant>
      <vt:variant>
        <vt:i4>1703998</vt:i4>
      </vt:variant>
      <vt:variant>
        <vt:i4>659</vt:i4>
      </vt:variant>
      <vt:variant>
        <vt:i4>0</vt:i4>
      </vt:variant>
      <vt:variant>
        <vt:i4>5</vt:i4>
      </vt:variant>
      <vt:variant>
        <vt:lpwstr/>
      </vt:variant>
      <vt:variant>
        <vt:lpwstr>_Toc92709897</vt:lpwstr>
      </vt:variant>
      <vt:variant>
        <vt:i4>1769534</vt:i4>
      </vt:variant>
      <vt:variant>
        <vt:i4>653</vt:i4>
      </vt:variant>
      <vt:variant>
        <vt:i4>0</vt:i4>
      </vt:variant>
      <vt:variant>
        <vt:i4>5</vt:i4>
      </vt:variant>
      <vt:variant>
        <vt:lpwstr/>
      </vt:variant>
      <vt:variant>
        <vt:lpwstr>_Toc92709896</vt:lpwstr>
      </vt:variant>
      <vt:variant>
        <vt:i4>1572926</vt:i4>
      </vt:variant>
      <vt:variant>
        <vt:i4>650</vt:i4>
      </vt:variant>
      <vt:variant>
        <vt:i4>0</vt:i4>
      </vt:variant>
      <vt:variant>
        <vt:i4>5</vt:i4>
      </vt:variant>
      <vt:variant>
        <vt:lpwstr/>
      </vt:variant>
      <vt:variant>
        <vt:lpwstr>_Toc92709895</vt:lpwstr>
      </vt:variant>
      <vt:variant>
        <vt:i4>1638462</vt:i4>
      </vt:variant>
      <vt:variant>
        <vt:i4>644</vt:i4>
      </vt:variant>
      <vt:variant>
        <vt:i4>0</vt:i4>
      </vt:variant>
      <vt:variant>
        <vt:i4>5</vt:i4>
      </vt:variant>
      <vt:variant>
        <vt:lpwstr/>
      </vt:variant>
      <vt:variant>
        <vt:lpwstr>_Toc92709894</vt:lpwstr>
      </vt:variant>
      <vt:variant>
        <vt:i4>1966142</vt:i4>
      </vt:variant>
      <vt:variant>
        <vt:i4>638</vt:i4>
      </vt:variant>
      <vt:variant>
        <vt:i4>0</vt:i4>
      </vt:variant>
      <vt:variant>
        <vt:i4>5</vt:i4>
      </vt:variant>
      <vt:variant>
        <vt:lpwstr/>
      </vt:variant>
      <vt:variant>
        <vt:lpwstr>_Toc92709893</vt:lpwstr>
      </vt:variant>
      <vt:variant>
        <vt:i4>2031678</vt:i4>
      </vt:variant>
      <vt:variant>
        <vt:i4>632</vt:i4>
      </vt:variant>
      <vt:variant>
        <vt:i4>0</vt:i4>
      </vt:variant>
      <vt:variant>
        <vt:i4>5</vt:i4>
      </vt:variant>
      <vt:variant>
        <vt:lpwstr/>
      </vt:variant>
      <vt:variant>
        <vt:lpwstr>_Toc92709892</vt:lpwstr>
      </vt:variant>
      <vt:variant>
        <vt:i4>1835070</vt:i4>
      </vt:variant>
      <vt:variant>
        <vt:i4>626</vt:i4>
      </vt:variant>
      <vt:variant>
        <vt:i4>0</vt:i4>
      </vt:variant>
      <vt:variant>
        <vt:i4>5</vt:i4>
      </vt:variant>
      <vt:variant>
        <vt:lpwstr/>
      </vt:variant>
      <vt:variant>
        <vt:lpwstr>_Toc92709891</vt:lpwstr>
      </vt:variant>
      <vt:variant>
        <vt:i4>1900606</vt:i4>
      </vt:variant>
      <vt:variant>
        <vt:i4>623</vt:i4>
      </vt:variant>
      <vt:variant>
        <vt:i4>0</vt:i4>
      </vt:variant>
      <vt:variant>
        <vt:i4>5</vt:i4>
      </vt:variant>
      <vt:variant>
        <vt:lpwstr/>
      </vt:variant>
      <vt:variant>
        <vt:lpwstr>_Toc92709890</vt:lpwstr>
      </vt:variant>
      <vt:variant>
        <vt:i4>1310783</vt:i4>
      </vt:variant>
      <vt:variant>
        <vt:i4>617</vt:i4>
      </vt:variant>
      <vt:variant>
        <vt:i4>0</vt:i4>
      </vt:variant>
      <vt:variant>
        <vt:i4>5</vt:i4>
      </vt:variant>
      <vt:variant>
        <vt:lpwstr/>
      </vt:variant>
      <vt:variant>
        <vt:lpwstr>_Toc92709889</vt:lpwstr>
      </vt:variant>
      <vt:variant>
        <vt:i4>1376319</vt:i4>
      </vt:variant>
      <vt:variant>
        <vt:i4>611</vt:i4>
      </vt:variant>
      <vt:variant>
        <vt:i4>0</vt:i4>
      </vt:variant>
      <vt:variant>
        <vt:i4>5</vt:i4>
      </vt:variant>
      <vt:variant>
        <vt:lpwstr/>
      </vt:variant>
      <vt:variant>
        <vt:lpwstr>_Toc92709888</vt:lpwstr>
      </vt:variant>
      <vt:variant>
        <vt:i4>1703999</vt:i4>
      </vt:variant>
      <vt:variant>
        <vt:i4>605</vt:i4>
      </vt:variant>
      <vt:variant>
        <vt:i4>0</vt:i4>
      </vt:variant>
      <vt:variant>
        <vt:i4>5</vt:i4>
      </vt:variant>
      <vt:variant>
        <vt:lpwstr/>
      </vt:variant>
      <vt:variant>
        <vt:lpwstr>_Toc92709887</vt:lpwstr>
      </vt:variant>
      <vt:variant>
        <vt:i4>1769535</vt:i4>
      </vt:variant>
      <vt:variant>
        <vt:i4>599</vt:i4>
      </vt:variant>
      <vt:variant>
        <vt:i4>0</vt:i4>
      </vt:variant>
      <vt:variant>
        <vt:i4>5</vt:i4>
      </vt:variant>
      <vt:variant>
        <vt:lpwstr/>
      </vt:variant>
      <vt:variant>
        <vt:lpwstr>_Toc92709886</vt:lpwstr>
      </vt:variant>
      <vt:variant>
        <vt:i4>1572927</vt:i4>
      </vt:variant>
      <vt:variant>
        <vt:i4>593</vt:i4>
      </vt:variant>
      <vt:variant>
        <vt:i4>0</vt:i4>
      </vt:variant>
      <vt:variant>
        <vt:i4>5</vt:i4>
      </vt:variant>
      <vt:variant>
        <vt:lpwstr/>
      </vt:variant>
      <vt:variant>
        <vt:lpwstr>_Toc92709885</vt:lpwstr>
      </vt:variant>
      <vt:variant>
        <vt:i4>1638463</vt:i4>
      </vt:variant>
      <vt:variant>
        <vt:i4>587</vt:i4>
      </vt:variant>
      <vt:variant>
        <vt:i4>0</vt:i4>
      </vt:variant>
      <vt:variant>
        <vt:i4>5</vt:i4>
      </vt:variant>
      <vt:variant>
        <vt:lpwstr/>
      </vt:variant>
      <vt:variant>
        <vt:lpwstr>_Toc92709884</vt:lpwstr>
      </vt:variant>
      <vt:variant>
        <vt:i4>1966143</vt:i4>
      </vt:variant>
      <vt:variant>
        <vt:i4>581</vt:i4>
      </vt:variant>
      <vt:variant>
        <vt:i4>0</vt:i4>
      </vt:variant>
      <vt:variant>
        <vt:i4>5</vt:i4>
      </vt:variant>
      <vt:variant>
        <vt:lpwstr/>
      </vt:variant>
      <vt:variant>
        <vt:lpwstr>_Toc92709883</vt:lpwstr>
      </vt:variant>
      <vt:variant>
        <vt:i4>2031679</vt:i4>
      </vt:variant>
      <vt:variant>
        <vt:i4>575</vt:i4>
      </vt:variant>
      <vt:variant>
        <vt:i4>0</vt:i4>
      </vt:variant>
      <vt:variant>
        <vt:i4>5</vt:i4>
      </vt:variant>
      <vt:variant>
        <vt:lpwstr/>
      </vt:variant>
      <vt:variant>
        <vt:lpwstr>_Toc92709882</vt:lpwstr>
      </vt:variant>
      <vt:variant>
        <vt:i4>1835071</vt:i4>
      </vt:variant>
      <vt:variant>
        <vt:i4>569</vt:i4>
      </vt:variant>
      <vt:variant>
        <vt:i4>0</vt:i4>
      </vt:variant>
      <vt:variant>
        <vt:i4>5</vt:i4>
      </vt:variant>
      <vt:variant>
        <vt:lpwstr/>
      </vt:variant>
      <vt:variant>
        <vt:lpwstr>_Toc92709881</vt:lpwstr>
      </vt:variant>
      <vt:variant>
        <vt:i4>1900607</vt:i4>
      </vt:variant>
      <vt:variant>
        <vt:i4>563</vt:i4>
      </vt:variant>
      <vt:variant>
        <vt:i4>0</vt:i4>
      </vt:variant>
      <vt:variant>
        <vt:i4>5</vt:i4>
      </vt:variant>
      <vt:variant>
        <vt:lpwstr/>
      </vt:variant>
      <vt:variant>
        <vt:lpwstr>_Toc92709880</vt:lpwstr>
      </vt:variant>
      <vt:variant>
        <vt:i4>1310768</vt:i4>
      </vt:variant>
      <vt:variant>
        <vt:i4>557</vt:i4>
      </vt:variant>
      <vt:variant>
        <vt:i4>0</vt:i4>
      </vt:variant>
      <vt:variant>
        <vt:i4>5</vt:i4>
      </vt:variant>
      <vt:variant>
        <vt:lpwstr/>
      </vt:variant>
      <vt:variant>
        <vt:lpwstr>_Toc92709879</vt:lpwstr>
      </vt:variant>
      <vt:variant>
        <vt:i4>1376304</vt:i4>
      </vt:variant>
      <vt:variant>
        <vt:i4>551</vt:i4>
      </vt:variant>
      <vt:variant>
        <vt:i4>0</vt:i4>
      </vt:variant>
      <vt:variant>
        <vt:i4>5</vt:i4>
      </vt:variant>
      <vt:variant>
        <vt:lpwstr/>
      </vt:variant>
      <vt:variant>
        <vt:lpwstr>_Toc92709878</vt:lpwstr>
      </vt:variant>
      <vt:variant>
        <vt:i4>1703984</vt:i4>
      </vt:variant>
      <vt:variant>
        <vt:i4>545</vt:i4>
      </vt:variant>
      <vt:variant>
        <vt:i4>0</vt:i4>
      </vt:variant>
      <vt:variant>
        <vt:i4>5</vt:i4>
      </vt:variant>
      <vt:variant>
        <vt:lpwstr/>
      </vt:variant>
      <vt:variant>
        <vt:lpwstr>_Toc92709877</vt:lpwstr>
      </vt:variant>
      <vt:variant>
        <vt:i4>1769520</vt:i4>
      </vt:variant>
      <vt:variant>
        <vt:i4>539</vt:i4>
      </vt:variant>
      <vt:variant>
        <vt:i4>0</vt:i4>
      </vt:variant>
      <vt:variant>
        <vt:i4>5</vt:i4>
      </vt:variant>
      <vt:variant>
        <vt:lpwstr/>
      </vt:variant>
      <vt:variant>
        <vt:lpwstr>_Toc92709876</vt:lpwstr>
      </vt:variant>
      <vt:variant>
        <vt:i4>1572912</vt:i4>
      </vt:variant>
      <vt:variant>
        <vt:i4>533</vt:i4>
      </vt:variant>
      <vt:variant>
        <vt:i4>0</vt:i4>
      </vt:variant>
      <vt:variant>
        <vt:i4>5</vt:i4>
      </vt:variant>
      <vt:variant>
        <vt:lpwstr/>
      </vt:variant>
      <vt:variant>
        <vt:lpwstr>_Toc92709875</vt:lpwstr>
      </vt:variant>
      <vt:variant>
        <vt:i4>1638448</vt:i4>
      </vt:variant>
      <vt:variant>
        <vt:i4>527</vt:i4>
      </vt:variant>
      <vt:variant>
        <vt:i4>0</vt:i4>
      </vt:variant>
      <vt:variant>
        <vt:i4>5</vt:i4>
      </vt:variant>
      <vt:variant>
        <vt:lpwstr/>
      </vt:variant>
      <vt:variant>
        <vt:lpwstr>_Toc92709874</vt:lpwstr>
      </vt:variant>
      <vt:variant>
        <vt:i4>1966128</vt:i4>
      </vt:variant>
      <vt:variant>
        <vt:i4>521</vt:i4>
      </vt:variant>
      <vt:variant>
        <vt:i4>0</vt:i4>
      </vt:variant>
      <vt:variant>
        <vt:i4>5</vt:i4>
      </vt:variant>
      <vt:variant>
        <vt:lpwstr/>
      </vt:variant>
      <vt:variant>
        <vt:lpwstr>_Toc92709873</vt:lpwstr>
      </vt:variant>
      <vt:variant>
        <vt:i4>2031664</vt:i4>
      </vt:variant>
      <vt:variant>
        <vt:i4>515</vt:i4>
      </vt:variant>
      <vt:variant>
        <vt:i4>0</vt:i4>
      </vt:variant>
      <vt:variant>
        <vt:i4>5</vt:i4>
      </vt:variant>
      <vt:variant>
        <vt:lpwstr/>
      </vt:variant>
      <vt:variant>
        <vt:lpwstr>_Toc92709872</vt:lpwstr>
      </vt:variant>
      <vt:variant>
        <vt:i4>1835056</vt:i4>
      </vt:variant>
      <vt:variant>
        <vt:i4>509</vt:i4>
      </vt:variant>
      <vt:variant>
        <vt:i4>0</vt:i4>
      </vt:variant>
      <vt:variant>
        <vt:i4>5</vt:i4>
      </vt:variant>
      <vt:variant>
        <vt:lpwstr/>
      </vt:variant>
      <vt:variant>
        <vt:lpwstr>_Toc92709871</vt:lpwstr>
      </vt:variant>
      <vt:variant>
        <vt:i4>1900592</vt:i4>
      </vt:variant>
      <vt:variant>
        <vt:i4>503</vt:i4>
      </vt:variant>
      <vt:variant>
        <vt:i4>0</vt:i4>
      </vt:variant>
      <vt:variant>
        <vt:i4>5</vt:i4>
      </vt:variant>
      <vt:variant>
        <vt:lpwstr/>
      </vt:variant>
      <vt:variant>
        <vt:lpwstr>_Toc92709870</vt:lpwstr>
      </vt:variant>
      <vt:variant>
        <vt:i4>1310769</vt:i4>
      </vt:variant>
      <vt:variant>
        <vt:i4>497</vt:i4>
      </vt:variant>
      <vt:variant>
        <vt:i4>0</vt:i4>
      </vt:variant>
      <vt:variant>
        <vt:i4>5</vt:i4>
      </vt:variant>
      <vt:variant>
        <vt:lpwstr/>
      </vt:variant>
      <vt:variant>
        <vt:lpwstr>_Toc92709869</vt:lpwstr>
      </vt:variant>
      <vt:variant>
        <vt:i4>1376305</vt:i4>
      </vt:variant>
      <vt:variant>
        <vt:i4>491</vt:i4>
      </vt:variant>
      <vt:variant>
        <vt:i4>0</vt:i4>
      </vt:variant>
      <vt:variant>
        <vt:i4>5</vt:i4>
      </vt:variant>
      <vt:variant>
        <vt:lpwstr/>
      </vt:variant>
      <vt:variant>
        <vt:lpwstr>_Toc92709868</vt:lpwstr>
      </vt:variant>
      <vt:variant>
        <vt:i4>1703985</vt:i4>
      </vt:variant>
      <vt:variant>
        <vt:i4>485</vt:i4>
      </vt:variant>
      <vt:variant>
        <vt:i4>0</vt:i4>
      </vt:variant>
      <vt:variant>
        <vt:i4>5</vt:i4>
      </vt:variant>
      <vt:variant>
        <vt:lpwstr/>
      </vt:variant>
      <vt:variant>
        <vt:lpwstr>_Toc92709867</vt:lpwstr>
      </vt:variant>
      <vt:variant>
        <vt:i4>1769521</vt:i4>
      </vt:variant>
      <vt:variant>
        <vt:i4>479</vt:i4>
      </vt:variant>
      <vt:variant>
        <vt:i4>0</vt:i4>
      </vt:variant>
      <vt:variant>
        <vt:i4>5</vt:i4>
      </vt:variant>
      <vt:variant>
        <vt:lpwstr/>
      </vt:variant>
      <vt:variant>
        <vt:lpwstr>_Toc92709866</vt:lpwstr>
      </vt:variant>
      <vt:variant>
        <vt:i4>1572913</vt:i4>
      </vt:variant>
      <vt:variant>
        <vt:i4>473</vt:i4>
      </vt:variant>
      <vt:variant>
        <vt:i4>0</vt:i4>
      </vt:variant>
      <vt:variant>
        <vt:i4>5</vt:i4>
      </vt:variant>
      <vt:variant>
        <vt:lpwstr/>
      </vt:variant>
      <vt:variant>
        <vt:lpwstr>_Toc92709865</vt:lpwstr>
      </vt:variant>
      <vt:variant>
        <vt:i4>1638449</vt:i4>
      </vt:variant>
      <vt:variant>
        <vt:i4>467</vt:i4>
      </vt:variant>
      <vt:variant>
        <vt:i4>0</vt:i4>
      </vt:variant>
      <vt:variant>
        <vt:i4>5</vt:i4>
      </vt:variant>
      <vt:variant>
        <vt:lpwstr/>
      </vt:variant>
      <vt:variant>
        <vt:lpwstr>_Toc92709864</vt:lpwstr>
      </vt:variant>
      <vt:variant>
        <vt:i4>1966129</vt:i4>
      </vt:variant>
      <vt:variant>
        <vt:i4>461</vt:i4>
      </vt:variant>
      <vt:variant>
        <vt:i4>0</vt:i4>
      </vt:variant>
      <vt:variant>
        <vt:i4>5</vt:i4>
      </vt:variant>
      <vt:variant>
        <vt:lpwstr/>
      </vt:variant>
      <vt:variant>
        <vt:lpwstr>_Toc92709863</vt:lpwstr>
      </vt:variant>
      <vt:variant>
        <vt:i4>2031665</vt:i4>
      </vt:variant>
      <vt:variant>
        <vt:i4>455</vt:i4>
      </vt:variant>
      <vt:variant>
        <vt:i4>0</vt:i4>
      </vt:variant>
      <vt:variant>
        <vt:i4>5</vt:i4>
      </vt:variant>
      <vt:variant>
        <vt:lpwstr/>
      </vt:variant>
      <vt:variant>
        <vt:lpwstr>_Toc92709862</vt:lpwstr>
      </vt:variant>
      <vt:variant>
        <vt:i4>1835057</vt:i4>
      </vt:variant>
      <vt:variant>
        <vt:i4>449</vt:i4>
      </vt:variant>
      <vt:variant>
        <vt:i4>0</vt:i4>
      </vt:variant>
      <vt:variant>
        <vt:i4>5</vt:i4>
      </vt:variant>
      <vt:variant>
        <vt:lpwstr/>
      </vt:variant>
      <vt:variant>
        <vt:lpwstr>_Toc92709861</vt:lpwstr>
      </vt:variant>
      <vt:variant>
        <vt:i4>1900593</vt:i4>
      </vt:variant>
      <vt:variant>
        <vt:i4>443</vt:i4>
      </vt:variant>
      <vt:variant>
        <vt:i4>0</vt:i4>
      </vt:variant>
      <vt:variant>
        <vt:i4>5</vt:i4>
      </vt:variant>
      <vt:variant>
        <vt:lpwstr/>
      </vt:variant>
      <vt:variant>
        <vt:lpwstr>_Toc92709860</vt:lpwstr>
      </vt:variant>
      <vt:variant>
        <vt:i4>1310770</vt:i4>
      </vt:variant>
      <vt:variant>
        <vt:i4>437</vt:i4>
      </vt:variant>
      <vt:variant>
        <vt:i4>0</vt:i4>
      </vt:variant>
      <vt:variant>
        <vt:i4>5</vt:i4>
      </vt:variant>
      <vt:variant>
        <vt:lpwstr/>
      </vt:variant>
      <vt:variant>
        <vt:lpwstr>_Toc92709859</vt:lpwstr>
      </vt:variant>
      <vt:variant>
        <vt:i4>1376306</vt:i4>
      </vt:variant>
      <vt:variant>
        <vt:i4>431</vt:i4>
      </vt:variant>
      <vt:variant>
        <vt:i4>0</vt:i4>
      </vt:variant>
      <vt:variant>
        <vt:i4>5</vt:i4>
      </vt:variant>
      <vt:variant>
        <vt:lpwstr/>
      </vt:variant>
      <vt:variant>
        <vt:lpwstr>_Toc92709858</vt:lpwstr>
      </vt:variant>
      <vt:variant>
        <vt:i4>1703986</vt:i4>
      </vt:variant>
      <vt:variant>
        <vt:i4>425</vt:i4>
      </vt:variant>
      <vt:variant>
        <vt:i4>0</vt:i4>
      </vt:variant>
      <vt:variant>
        <vt:i4>5</vt:i4>
      </vt:variant>
      <vt:variant>
        <vt:lpwstr/>
      </vt:variant>
      <vt:variant>
        <vt:lpwstr>_Toc92709857</vt:lpwstr>
      </vt:variant>
      <vt:variant>
        <vt:i4>1769522</vt:i4>
      </vt:variant>
      <vt:variant>
        <vt:i4>419</vt:i4>
      </vt:variant>
      <vt:variant>
        <vt:i4>0</vt:i4>
      </vt:variant>
      <vt:variant>
        <vt:i4>5</vt:i4>
      </vt:variant>
      <vt:variant>
        <vt:lpwstr/>
      </vt:variant>
      <vt:variant>
        <vt:lpwstr>_Toc92709856</vt:lpwstr>
      </vt:variant>
      <vt:variant>
        <vt:i4>1572914</vt:i4>
      </vt:variant>
      <vt:variant>
        <vt:i4>413</vt:i4>
      </vt:variant>
      <vt:variant>
        <vt:i4>0</vt:i4>
      </vt:variant>
      <vt:variant>
        <vt:i4>5</vt:i4>
      </vt:variant>
      <vt:variant>
        <vt:lpwstr/>
      </vt:variant>
      <vt:variant>
        <vt:lpwstr>_Toc92709855</vt:lpwstr>
      </vt:variant>
      <vt:variant>
        <vt:i4>1638450</vt:i4>
      </vt:variant>
      <vt:variant>
        <vt:i4>407</vt:i4>
      </vt:variant>
      <vt:variant>
        <vt:i4>0</vt:i4>
      </vt:variant>
      <vt:variant>
        <vt:i4>5</vt:i4>
      </vt:variant>
      <vt:variant>
        <vt:lpwstr/>
      </vt:variant>
      <vt:variant>
        <vt:lpwstr>_Toc92709854</vt:lpwstr>
      </vt:variant>
      <vt:variant>
        <vt:i4>1966130</vt:i4>
      </vt:variant>
      <vt:variant>
        <vt:i4>401</vt:i4>
      </vt:variant>
      <vt:variant>
        <vt:i4>0</vt:i4>
      </vt:variant>
      <vt:variant>
        <vt:i4>5</vt:i4>
      </vt:variant>
      <vt:variant>
        <vt:lpwstr/>
      </vt:variant>
      <vt:variant>
        <vt:lpwstr>_Toc92709853</vt:lpwstr>
      </vt:variant>
      <vt:variant>
        <vt:i4>2031666</vt:i4>
      </vt:variant>
      <vt:variant>
        <vt:i4>395</vt:i4>
      </vt:variant>
      <vt:variant>
        <vt:i4>0</vt:i4>
      </vt:variant>
      <vt:variant>
        <vt:i4>5</vt:i4>
      </vt:variant>
      <vt:variant>
        <vt:lpwstr/>
      </vt:variant>
      <vt:variant>
        <vt:lpwstr>_Toc92709852</vt:lpwstr>
      </vt:variant>
      <vt:variant>
        <vt:i4>1835058</vt:i4>
      </vt:variant>
      <vt:variant>
        <vt:i4>389</vt:i4>
      </vt:variant>
      <vt:variant>
        <vt:i4>0</vt:i4>
      </vt:variant>
      <vt:variant>
        <vt:i4>5</vt:i4>
      </vt:variant>
      <vt:variant>
        <vt:lpwstr/>
      </vt:variant>
      <vt:variant>
        <vt:lpwstr>_Toc92709851</vt:lpwstr>
      </vt:variant>
      <vt:variant>
        <vt:i4>1900594</vt:i4>
      </vt:variant>
      <vt:variant>
        <vt:i4>383</vt:i4>
      </vt:variant>
      <vt:variant>
        <vt:i4>0</vt:i4>
      </vt:variant>
      <vt:variant>
        <vt:i4>5</vt:i4>
      </vt:variant>
      <vt:variant>
        <vt:lpwstr/>
      </vt:variant>
      <vt:variant>
        <vt:lpwstr>_Toc92709850</vt:lpwstr>
      </vt:variant>
      <vt:variant>
        <vt:i4>1310771</vt:i4>
      </vt:variant>
      <vt:variant>
        <vt:i4>377</vt:i4>
      </vt:variant>
      <vt:variant>
        <vt:i4>0</vt:i4>
      </vt:variant>
      <vt:variant>
        <vt:i4>5</vt:i4>
      </vt:variant>
      <vt:variant>
        <vt:lpwstr/>
      </vt:variant>
      <vt:variant>
        <vt:lpwstr>_Toc92709849</vt:lpwstr>
      </vt:variant>
      <vt:variant>
        <vt:i4>1376307</vt:i4>
      </vt:variant>
      <vt:variant>
        <vt:i4>371</vt:i4>
      </vt:variant>
      <vt:variant>
        <vt:i4>0</vt:i4>
      </vt:variant>
      <vt:variant>
        <vt:i4>5</vt:i4>
      </vt:variant>
      <vt:variant>
        <vt:lpwstr/>
      </vt:variant>
      <vt:variant>
        <vt:lpwstr>_Toc92709848</vt:lpwstr>
      </vt:variant>
      <vt:variant>
        <vt:i4>1703987</vt:i4>
      </vt:variant>
      <vt:variant>
        <vt:i4>365</vt:i4>
      </vt:variant>
      <vt:variant>
        <vt:i4>0</vt:i4>
      </vt:variant>
      <vt:variant>
        <vt:i4>5</vt:i4>
      </vt:variant>
      <vt:variant>
        <vt:lpwstr/>
      </vt:variant>
      <vt:variant>
        <vt:lpwstr>_Toc92709847</vt:lpwstr>
      </vt:variant>
      <vt:variant>
        <vt:i4>1769523</vt:i4>
      </vt:variant>
      <vt:variant>
        <vt:i4>359</vt:i4>
      </vt:variant>
      <vt:variant>
        <vt:i4>0</vt:i4>
      </vt:variant>
      <vt:variant>
        <vt:i4>5</vt:i4>
      </vt:variant>
      <vt:variant>
        <vt:lpwstr/>
      </vt:variant>
      <vt:variant>
        <vt:lpwstr>_Toc92709846</vt:lpwstr>
      </vt:variant>
      <vt:variant>
        <vt:i4>1572915</vt:i4>
      </vt:variant>
      <vt:variant>
        <vt:i4>353</vt:i4>
      </vt:variant>
      <vt:variant>
        <vt:i4>0</vt:i4>
      </vt:variant>
      <vt:variant>
        <vt:i4>5</vt:i4>
      </vt:variant>
      <vt:variant>
        <vt:lpwstr/>
      </vt:variant>
      <vt:variant>
        <vt:lpwstr>_Toc92709845</vt:lpwstr>
      </vt:variant>
      <vt:variant>
        <vt:i4>1638451</vt:i4>
      </vt:variant>
      <vt:variant>
        <vt:i4>347</vt:i4>
      </vt:variant>
      <vt:variant>
        <vt:i4>0</vt:i4>
      </vt:variant>
      <vt:variant>
        <vt:i4>5</vt:i4>
      </vt:variant>
      <vt:variant>
        <vt:lpwstr/>
      </vt:variant>
      <vt:variant>
        <vt:lpwstr>_Toc92709844</vt:lpwstr>
      </vt:variant>
      <vt:variant>
        <vt:i4>1966131</vt:i4>
      </vt:variant>
      <vt:variant>
        <vt:i4>344</vt:i4>
      </vt:variant>
      <vt:variant>
        <vt:i4>0</vt:i4>
      </vt:variant>
      <vt:variant>
        <vt:i4>5</vt:i4>
      </vt:variant>
      <vt:variant>
        <vt:lpwstr/>
      </vt:variant>
      <vt:variant>
        <vt:lpwstr>_Toc92709843</vt:lpwstr>
      </vt:variant>
      <vt:variant>
        <vt:i4>2031667</vt:i4>
      </vt:variant>
      <vt:variant>
        <vt:i4>338</vt:i4>
      </vt:variant>
      <vt:variant>
        <vt:i4>0</vt:i4>
      </vt:variant>
      <vt:variant>
        <vt:i4>5</vt:i4>
      </vt:variant>
      <vt:variant>
        <vt:lpwstr/>
      </vt:variant>
      <vt:variant>
        <vt:lpwstr>_Toc92709842</vt:lpwstr>
      </vt:variant>
      <vt:variant>
        <vt:i4>1835059</vt:i4>
      </vt:variant>
      <vt:variant>
        <vt:i4>332</vt:i4>
      </vt:variant>
      <vt:variant>
        <vt:i4>0</vt:i4>
      </vt:variant>
      <vt:variant>
        <vt:i4>5</vt:i4>
      </vt:variant>
      <vt:variant>
        <vt:lpwstr/>
      </vt:variant>
      <vt:variant>
        <vt:lpwstr>_Toc92709841</vt:lpwstr>
      </vt:variant>
      <vt:variant>
        <vt:i4>1900595</vt:i4>
      </vt:variant>
      <vt:variant>
        <vt:i4>326</vt:i4>
      </vt:variant>
      <vt:variant>
        <vt:i4>0</vt:i4>
      </vt:variant>
      <vt:variant>
        <vt:i4>5</vt:i4>
      </vt:variant>
      <vt:variant>
        <vt:lpwstr/>
      </vt:variant>
      <vt:variant>
        <vt:lpwstr>_Toc92709840</vt:lpwstr>
      </vt:variant>
      <vt:variant>
        <vt:i4>1310772</vt:i4>
      </vt:variant>
      <vt:variant>
        <vt:i4>320</vt:i4>
      </vt:variant>
      <vt:variant>
        <vt:i4>0</vt:i4>
      </vt:variant>
      <vt:variant>
        <vt:i4>5</vt:i4>
      </vt:variant>
      <vt:variant>
        <vt:lpwstr/>
      </vt:variant>
      <vt:variant>
        <vt:lpwstr>_Toc92709839</vt:lpwstr>
      </vt:variant>
      <vt:variant>
        <vt:i4>1376308</vt:i4>
      </vt:variant>
      <vt:variant>
        <vt:i4>314</vt:i4>
      </vt:variant>
      <vt:variant>
        <vt:i4>0</vt:i4>
      </vt:variant>
      <vt:variant>
        <vt:i4>5</vt:i4>
      </vt:variant>
      <vt:variant>
        <vt:lpwstr/>
      </vt:variant>
      <vt:variant>
        <vt:lpwstr>_Toc92709838</vt:lpwstr>
      </vt:variant>
      <vt:variant>
        <vt:i4>1703988</vt:i4>
      </vt:variant>
      <vt:variant>
        <vt:i4>308</vt:i4>
      </vt:variant>
      <vt:variant>
        <vt:i4>0</vt:i4>
      </vt:variant>
      <vt:variant>
        <vt:i4>5</vt:i4>
      </vt:variant>
      <vt:variant>
        <vt:lpwstr/>
      </vt:variant>
      <vt:variant>
        <vt:lpwstr>_Toc92709837</vt:lpwstr>
      </vt:variant>
      <vt:variant>
        <vt:i4>1769524</vt:i4>
      </vt:variant>
      <vt:variant>
        <vt:i4>302</vt:i4>
      </vt:variant>
      <vt:variant>
        <vt:i4>0</vt:i4>
      </vt:variant>
      <vt:variant>
        <vt:i4>5</vt:i4>
      </vt:variant>
      <vt:variant>
        <vt:lpwstr/>
      </vt:variant>
      <vt:variant>
        <vt:lpwstr>_Toc92709836</vt:lpwstr>
      </vt:variant>
      <vt:variant>
        <vt:i4>1572916</vt:i4>
      </vt:variant>
      <vt:variant>
        <vt:i4>296</vt:i4>
      </vt:variant>
      <vt:variant>
        <vt:i4>0</vt:i4>
      </vt:variant>
      <vt:variant>
        <vt:i4>5</vt:i4>
      </vt:variant>
      <vt:variant>
        <vt:lpwstr/>
      </vt:variant>
      <vt:variant>
        <vt:lpwstr>_Toc92709835</vt:lpwstr>
      </vt:variant>
      <vt:variant>
        <vt:i4>1638452</vt:i4>
      </vt:variant>
      <vt:variant>
        <vt:i4>290</vt:i4>
      </vt:variant>
      <vt:variant>
        <vt:i4>0</vt:i4>
      </vt:variant>
      <vt:variant>
        <vt:i4>5</vt:i4>
      </vt:variant>
      <vt:variant>
        <vt:lpwstr/>
      </vt:variant>
      <vt:variant>
        <vt:lpwstr>_Toc92709834</vt:lpwstr>
      </vt:variant>
      <vt:variant>
        <vt:i4>1966132</vt:i4>
      </vt:variant>
      <vt:variant>
        <vt:i4>284</vt:i4>
      </vt:variant>
      <vt:variant>
        <vt:i4>0</vt:i4>
      </vt:variant>
      <vt:variant>
        <vt:i4>5</vt:i4>
      </vt:variant>
      <vt:variant>
        <vt:lpwstr/>
      </vt:variant>
      <vt:variant>
        <vt:lpwstr>_Toc92709833</vt:lpwstr>
      </vt:variant>
      <vt:variant>
        <vt:i4>2031668</vt:i4>
      </vt:variant>
      <vt:variant>
        <vt:i4>278</vt:i4>
      </vt:variant>
      <vt:variant>
        <vt:i4>0</vt:i4>
      </vt:variant>
      <vt:variant>
        <vt:i4>5</vt:i4>
      </vt:variant>
      <vt:variant>
        <vt:lpwstr/>
      </vt:variant>
      <vt:variant>
        <vt:lpwstr>_Toc92709832</vt:lpwstr>
      </vt:variant>
      <vt:variant>
        <vt:i4>1835060</vt:i4>
      </vt:variant>
      <vt:variant>
        <vt:i4>272</vt:i4>
      </vt:variant>
      <vt:variant>
        <vt:i4>0</vt:i4>
      </vt:variant>
      <vt:variant>
        <vt:i4>5</vt:i4>
      </vt:variant>
      <vt:variant>
        <vt:lpwstr/>
      </vt:variant>
      <vt:variant>
        <vt:lpwstr>_Toc92709831</vt:lpwstr>
      </vt:variant>
      <vt:variant>
        <vt:i4>1900596</vt:i4>
      </vt:variant>
      <vt:variant>
        <vt:i4>266</vt:i4>
      </vt:variant>
      <vt:variant>
        <vt:i4>0</vt:i4>
      </vt:variant>
      <vt:variant>
        <vt:i4>5</vt:i4>
      </vt:variant>
      <vt:variant>
        <vt:lpwstr/>
      </vt:variant>
      <vt:variant>
        <vt:lpwstr>_Toc92709830</vt:lpwstr>
      </vt:variant>
      <vt:variant>
        <vt:i4>1310773</vt:i4>
      </vt:variant>
      <vt:variant>
        <vt:i4>260</vt:i4>
      </vt:variant>
      <vt:variant>
        <vt:i4>0</vt:i4>
      </vt:variant>
      <vt:variant>
        <vt:i4>5</vt:i4>
      </vt:variant>
      <vt:variant>
        <vt:lpwstr/>
      </vt:variant>
      <vt:variant>
        <vt:lpwstr>_Toc92709829</vt:lpwstr>
      </vt:variant>
      <vt:variant>
        <vt:i4>1376309</vt:i4>
      </vt:variant>
      <vt:variant>
        <vt:i4>254</vt:i4>
      </vt:variant>
      <vt:variant>
        <vt:i4>0</vt:i4>
      </vt:variant>
      <vt:variant>
        <vt:i4>5</vt:i4>
      </vt:variant>
      <vt:variant>
        <vt:lpwstr/>
      </vt:variant>
      <vt:variant>
        <vt:lpwstr>_Toc92709828</vt:lpwstr>
      </vt:variant>
      <vt:variant>
        <vt:i4>1703989</vt:i4>
      </vt:variant>
      <vt:variant>
        <vt:i4>248</vt:i4>
      </vt:variant>
      <vt:variant>
        <vt:i4>0</vt:i4>
      </vt:variant>
      <vt:variant>
        <vt:i4>5</vt:i4>
      </vt:variant>
      <vt:variant>
        <vt:lpwstr/>
      </vt:variant>
      <vt:variant>
        <vt:lpwstr>_Toc92709827</vt:lpwstr>
      </vt:variant>
      <vt:variant>
        <vt:i4>1769525</vt:i4>
      </vt:variant>
      <vt:variant>
        <vt:i4>242</vt:i4>
      </vt:variant>
      <vt:variant>
        <vt:i4>0</vt:i4>
      </vt:variant>
      <vt:variant>
        <vt:i4>5</vt:i4>
      </vt:variant>
      <vt:variant>
        <vt:lpwstr/>
      </vt:variant>
      <vt:variant>
        <vt:lpwstr>_Toc92709826</vt:lpwstr>
      </vt:variant>
      <vt:variant>
        <vt:i4>1572917</vt:i4>
      </vt:variant>
      <vt:variant>
        <vt:i4>236</vt:i4>
      </vt:variant>
      <vt:variant>
        <vt:i4>0</vt:i4>
      </vt:variant>
      <vt:variant>
        <vt:i4>5</vt:i4>
      </vt:variant>
      <vt:variant>
        <vt:lpwstr/>
      </vt:variant>
      <vt:variant>
        <vt:lpwstr>_Toc92709825</vt:lpwstr>
      </vt:variant>
      <vt:variant>
        <vt:i4>1638453</vt:i4>
      </vt:variant>
      <vt:variant>
        <vt:i4>230</vt:i4>
      </vt:variant>
      <vt:variant>
        <vt:i4>0</vt:i4>
      </vt:variant>
      <vt:variant>
        <vt:i4>5</vt:i4>
      </vt:variant>
      <vt:variant>
        <vt:lpwstr/>
      </vt:variant>
      <vt:variant>
        <vt:lpwstr>_Toc92709824</vt:lpwstr>
      </vt:variant>
      <vt:variant>
        <vt:i4>1966133</vt:i4>
      </vt:variant>
      <vt:variant>
        <vt:i4>224</vt:i4>
      </vt:variant>
      <vt:variant>
        <vt:i4>0</vt:i4>
      </vt:variant>
      <vt:variant>
        <vt:i4>5</vt:i4>
      </vt:variant>
      <vt:variant>
        <vt:lpwstr/>
      </vt:variant>
      <vt:variant>
        <vt:lpwstr>_Toc92709823</vt:lpwstr>
      </vt:variant>
      <vt:variant>
        <vt:i4>2031669</vt:i4>
      </vt:variant>
      <vt:variant>
        <vt:i4>218</vt:i4>
      </vt:variant>
      <vt:variant>
        <vt:i4>0</vt:i4>
      </vt:variant>
      <vt:variant>
        <vt:i4>5</vt:i4>
      </vt:variant>
      <vt:variant>
        <vt:lpwstr/>
      </vt:variant>
      <vt:variant>
        <vt:lpwstr>_Toc92709822</vt:lpwstr>
      </vt:variant>
      <vt:variant>
        <vt:i4>1835061</vt:i4>
      </vt:variant>
      <vt:variant>
        <vt:i4>212</vt:i4>
      </vt:variant>
      <vt:variant>
        <vt:i4>0</vt:i4>
      </vt:variant>
      <vt:variant>
        <vt:i4>5</vt:i4>
      </vt:variant>
      <vt:variant>
        <vt:lpwstr/>
      </vt:variant>
      <vt:variant>
        <vt:lpwstr>_Toc92709821</vt:lpwstr>
      </vt:variant>
      <vt:variant>
        <vt:i4>1900597</vt:i4>
      </vt:variant>
      <vt:variant>
        <vt:i4>206</vt:i4>
      </vt:variant>
      <vt:variant>
        <vt:i4>0</vt:i4>
      </vt:variant>
      <vt:variant>
        <vt:i4>5</vt:i4>
      </vt:variant>
      <vt:variant>
        <vt:lpwstr/>
      </vt:variant>
      <vt:variant>
        <vt:lpwstr>_Toc92709820</vt:lpwstr>
      </vt:variant>
      <vt:variant>
        <vt:i4>1310774</vt:i4>
      </vt:variant>
      <vt:variant>
        <vt:i4>200</vt:i4>
      </vt:variant>
      <vt:variant>
        <vt:i4>0</vt:i4>
      </vt:variant>
      <vt:variant>
        <vt:i4>5</vt:i4>
      </vt:variant>
      <vt:variant>
        <vt:lpwstr/>
      </vt:variant>
      <vt:variant>
        <vt:lpwstr>_Toc92709819</vt:lpwstr>
      </vt:variant>
      <vt:variant>
        <vt:i4>1376310</vt:i4>
      </vt:variant>
      <vt:variant>
        <vt:i4>194</vt:i4>
      </vt:variant>
      <vt:variant>
        <vt:i4>0</vt:i4>
      </vt:variant>
      <vt:variant>
        <vt:i4>5</vt:i4>
      </vt:variant>
      <vt:variant>
        <vt:lpwstr/>
      </vt:variant>
      <vt:variant>
        <vt:lpwstr>_Toc92709818</vt:lpwstr>
      </vt:variant>
      <vt:variant>
        <vt:i4>1703990</vt:i4>
      </vt:variant>
      <vt:variant>
        <vt:i4>191</vt:i4>
      </vt:variant>
      <vt:variant>
        <vt:i4>0</vt:i4>
      </vt:variant>
      <vt:variant>
        <vt:i4>5</vt:i4>
      </vt:variant>
      <vt:variant>
        <vt:lpwstr/>
      </vt:variant>
      <vt:variant>
        <vt:lpwstr>_Toc92709817</vt:lpwstr>
      </vt:variant>
      <vt:variant>
        <vt:i4>1769526</vt:i4>
      </vt:variant>
      <vt:variant>
        <vt:i4>185</vt:i4>
      </vt:variant>
      <vt:variant>
        <vt:i4>0</vt:i4>
      </vt:variant>
      <vt:variant>
        <vt:i4>5</vt:i4>
      </vt:variant>
      <vt:variant>
        <vt:lpwstr/>
      </vt:variant>
      <vt:variant>
        <vt:lpwstr>_Toc92709816</vt:lpwstr>
      </vt:variant>
      <vt:variant>
        <vt:i4>1572918</vt:i4>
      </vt:variant>
      <vt:variant>
        <vt:i4>179</vt:i4>
      </vt:variant>
      <vt:variant>
        <vt:i4>0</vt:i4>
      </vt:variant>
      <vt:variant>
        <vt:i4>5</vt:i4>
      </vt:variant>
      <vt:variant>
        <vt:lpwstr/>
      </vt:variant>
      <vt:variant>
        <vt:lpwstr>_Toc92709815</vt:lpwstr>
      </vt:variant>
      <vt:variant>
        <vt:i4>1638454</vt:i4>
      </vt:variant>
      <vt:variant>
        <vt:i4>173</vt:i4>
      </vt:variant>
      <vt:variant>
        <vt:i4>0</vt:i4>
      </vt:variant>
      <vt:variant>
        <vt:i4>5</vt:i4>
      </vt:variant>
      <vt:variant>
        <vt:lpwstr/>
      </vt:variant>
      <vt:variant>
        <vt:lpwstr>_Toc92709814</vt:lpwstr>
      </vt:variant>
      <vt:variant>
        <vt:i4>1966134</vt:i4>
      </vt:variant>
      <vt:variant>
        <vt:i4>167</vt:i4>
      </vt:variant>
      <vt:variant>
        <vt:i4>0</vt:i4>
      </vt:variant>
      <vt:variant>
        <vt:i4>5</vt:i4>
      </vt:variant>
      <vt:variant>
        <vt:lpwstr/>
      </vt:variant>
      <vt:variant>
        <vt:lpwstr>_Toc92709813</vt:lpwstr>
      </vt:variant>
      <vt:variant>
        <vt:i4>2031670</vt:i4>
      </vt:variant>
      <vt:variant>
        <vt:i4>161</vt:i4>
      </vt:variant>
      <vt:variant>
        <vt:i4>0</vt:i4>
      </vt:variant>
      <vt:variant>
        <vt:i4>5</vt:i4>
      </vt:variant>
      <vt:variant>
        <vt:lpwstr/>
      </vt:variant>
      <vt:variant>
        <vt:lpwstr>_Toc92709812</vt:lpwstr>
      </vt:variant>
      <vt:variant>
        <vt:i4>1835062</vt:i4>
      </vt:variant>
      <vt:variant>
        <vt:i4>155</vt:i4>
      </vt:variant>
      <vt:variant>
        <vt:i4>0</vt:i4>
      </vt:variant>
      <vt:variant>
        <vt:i4>5</vt:i4>
      </vt:variant>
      <vt:variant>
        <vt:lpwstr/>
      </vt:variant>
      <vt:variant>
        <vt:lpwstr>_Toc92709811</vt:lpwstr>
      </vt:variant>
      <vt:variant>
        <vt:i4>1900598</vt:i4>
      </vt:variant>
      <vt:variant>
        <vt:i4>149</vt:i4>
      </vt:variant>
      <vt:variant>
        <vt:i4>0</vt:i4>
      </vt:variant>
      <vt:variant>
        <vt:i4>5</vt:i4>
      </vt:variant>
      <vt:variant>
        <vt:lpwstr/>
      </vt:variant>
      <vt:variant>
        <vt:lpwstr>_Toc92709810</vt:lpwstr>
      </vt:variant>
      <vt:variant>
        <vt:i4>1310775</vt:i4>
      </vt:variant>
      <vt:variant>
        <vt:i4>143</vt:i4>
      </vt:variant>
      <vt:variant>
        <vt:i4>0</vt:i4>
      </vt:variant>
      <vt:variant>
        <vt:i4>5</vt:i4>
      </vt:variant>
      <vt:variant>
        <vt:lpwstr/>
      </vt:variant>
      <vt:variant>
        <vt:lpwstr>_Toc92709809</vt:lpwstr>
      </vt:variant>
      <vt:variant>
        <vt:i4>1376311</vt:i4>
      </vt:variant>
      <vt:variant>
        <vt:i4>137</vt:i4>
      </vt:variant>
      <vt:variant>
        <vt:i4>0</vt:i4>
      </vt:variant>
      <vt:variant>
        <vt:i4>5</vt:i4>
      </vt:variant>
      <vt:variant>
        <vt:lpwstr/>
      </vt:variant>
      <vt:variant>
        <vt:lpwstr>_Toc92709808</vt:lpwstr>
      </vt:variant>
      <vt:variant>
        <vt:i4>1703991</vt:i4>
      </vt:variant>
      <vt:variant>
        <vt:i4>131</vt:i4>
      </vt:variant>
      <vt:variant>
        <vt:i4>0</vt:i4>
      </vt:variant>
      <vt:variant>
        <vt:i4>5</vt:i4>
      </vt:variant>
      <vt:variant>
        <vt:lpwstr/>
      </vt:variant>
      <vt:variant>
        <vt:lpwstr>_Toc92709807</vt:lpwstr>
      </vt:variant>
      <vt:variant>
        <vt:i4>1769527</vt:i4>
      </vt:variant>
      <vt:variant>
        <vt:i4>128</vt:i4>
      </vt:variant>
      <vt:variant>
        <vt:i4>0</vt:i4>
      </vt:variant>
      <vt:variant>
        <vt:i4>5</vt:i4>
      </vt:variant>
      <vt:variant>
        <vt:lpwstr/>
      </vt:variant>
      <vt:variant>
        <vt:lpwstr>_Toc92709806</vt:lpwstr>
      </vt:variant>
      <vt:variant>
        <vt:i4>1572919</vt:i4>
      </vt:variant>
      <vt:variant>
        <vt:i4>122</vt:i4>
      </vt:variant>
      <vt:variant>
        <vt:i4>0</vt:i4>
      </vt:variant>
      <vt:variant>
        <vt:i4>5</vt:i4>
      </vt:variant>
      <vt:variant>
        <vt:lpwstr/>
      </vt:variant>
      <vt:variant>
        <vt:lpwstr>_Toc92709805</vt:lpwstr>
      </vt:variant>
      <vt:variant>
        <vt:i4>1638455</vt:i4>
      </vt:variant>
      <vt:variant>
        <vt:i4>116</vt:i4>
      </vt:variant>
      <vt:variant>
        <vt:i4>0</vt:i4>
      </vt:variant>
      <vt:variant>
        <vt:i4>5</vt:i4>
      </vt:variant>
      <vt:variant>
        <vt:lpwstr/>
      </vt:variant>
      <vt:variant>
        <vt:lpwstr>_Toc92709804</vt:lpwstr>
      </vt:variant>
      <vt:variant>
        <vt:i4>1966135</vt:i4>
      </vt:variant>
      <vt:variant>
        <vt:i4>110</vt:i4>
      </vt:variant>
      <vt:variant>
        <vt:i4>0</vt:i4>
      </vt:variant>
      <vt:variant>
        <vt:i4>5</vt:i4>
      </vt:variant>
      <vt:variant>
        <vt:lpwstr/>
      </vt:variant>
      <vt:variant>
        <vt:lpwstr>_Toc92709803</vt:lpwstr>
      </vt:variant>
      <vt:variant>
        <vt:i4>2031671</vt:i4>
      </vt:variant>
      <vt:variant>
        <vt:i4>104</vt:i4>
      </vt:variant>
      <vt:variant>
        <vt:i4>0</vt:i4>
      </vt:variant>
      <vt:variant>
        <vt:i4>5</vt:i4>
      </vt:variant>
      <vt:variant>
        <vt:lpwstr/>
      </vt:variant>
      <vt:variant>
        <vt:lpwstr>_Toc92709802</vt:lpwstr>
      </vt:variant>
      <vt:variant>
        <vt:i4>1835063</vt:i4>
      </vt:variant>
      <vt:variant>
        <vt:i4>98</vt:i4>
      </vt:variant>
      <vt:variant>
        <vt:i4>0</vt:i4>
      </vt:variant>
      <vt:variant>
        <vt:i4>5</vt:i4>
      </vt:variant>
      <vt:variant>
        <vt:lpwstr/>
      </vt:variant>
      <vt:variant>
        <vt:lpwstr>_Toc92709801</vt:lpwstr>
      </vt:variant>
      <vt:variant>
        <vt:i4>1900599</vt:i4>
      </vt:variant>
      <vt:variant>
        <vt:i4>92</vt:i4>
      </vt:variant>
      <vt:variant>
        <vt:i4>0</vt:i4>
      </vt:variant>
      <vt:variant>
        <vt:i4>5</vt:i4>
      </vt:variant>
      <vt:variant>
        <vt:lpwstr/>
      </vt:variant>
      <vt:variant>
        <vt:lpwstr>_Toc92709800</vt:lpwstr>
      </vt:variant>
      <vt:variant>
        <vt:i4>1769534</vt:i4>
      </vt:variant>
      <vt:variant>
        <vt:i4>86</vt:i4>
      </vt:variant>
      <vt:variant>
        <vt:i4>0</vt:i4>
      </vt:variant>
      <vt:variant>
        <vt:i4>5</vt:i4>
      </vt:variant>
      <vt:variant>
        <vt:lpwstr/>
      </vt:variant>
      <vt:variant>
        <vt:lpwstr>_Toc92709799</vt:lpwstr>
      </vt:variant>
      <vt:variant>
        <vt:i4>1703998</vt:i4>
      </vt:variant>
      <vt:variant>
        <vt:i4>80</vt:i4>
      </vt:variant>
      <vt:variant>
        <vt:i4>0</vt:i4>
      </vt:variant>
      <vt:variant>
        <vt:i4>5</vt:i4>
      </vt:variant>
      <vt:variant>
        <vt:lpwstr/>
      </vt:variant>
      <vt:variant>
        <vt:lpwstr>_Toc92709798</vt:lpwstr>
      </vt:variant>
      <vt:variant>
        <vt:i4>1376318</vt:i4>
      </vt:variant>
      <vt:variant>
        <vt:i4>74</vt:i4>
      </vt:variant>
      <vt:variant>
        <vt:i4>0</vt:i4>
      </vt:variant>
      <vt:variant>
        <vt:i4>5</vt:i4>
      </vt:variant>
      <vt:variant>
        <vt:lpwstr/>
      </vt:variant>
      <vt:variant>
        <vt:lpwstr>_Toc92709797</vt:lpwstr>
      </vt:variant>
      <vt:variant>
        <vt:i4>1310782</vt:i4>
      </vt:variant>
      <vt:variant>
        <vt:i4>68</vt:i4>
      </vt:variant>
      <vt:variant>
        <vt:i4>0</vt:i4>
      </vt:variant>
      <vt:variant>
        <vt:i4>5</vt:i4>
      </vt:variant>
      <vt:variant>
        <vt:lpwstr/>
      </vt:variant>
      <vt:variant>
        <vt:lpwstr>_Toc92709796</vt:lpwstr>
      </vt:variant>
      <vt:variant>
        <vt:i4>1507390</vt:i4>
      </vt:variant>
      <vt:variant>
        <vt:i4>62</vt:i4>
      </vt:variant>
      <vt:variant>
        <vt:i4>0</vt:i4>
      </vt:variant>
      <vt:variant>
        <vt:i4>5</vt:i4>
      </vt:variant>
      <vt:variant>
        <vt:lpwstr/>
      </vt:variant>
      <vt:variant>
        <vt:lpwstr>_Toc92709795</vt:lpwstr>
      </vt:variant>
      <vt:variant>
        <vt:i4>1441854</vt:i4>
      </vt:variant>
      <vt:variant>
        <vt:i4>56</vt:i4>
      </vt:variant>
      <vt:variant>
        <vt:i4>0</vt:i4>
      </vt:variant>
      <vt:variant>
        <vt:i4>5</vt:i4>
      </vt:variant>
      <vt:variant>
        <vt:lpwstr/>
      </vt:variant>
      <vt:variant>
        <vt:lpwstr>_Toc92709794</vt:lpwstr>
      </vt:variant>
      <vt:variant>
        <vt:i4>1114174</vt:i4>
      </vt:variant>
      <vt:variant>
        <vt:i4>50</vt:i4>
      </vt:variant>
      <vt:variant>
        <vt:i4>0</vt:i4>
      </vt:variant>
      <vt:variant>
        <vt:i4>5</vt:i4>
      </vt:variant>
      <vt:variant>
        <vt:lpwstr/>
      </vt:variant>
      <vt:variant>
        <vt:lpwstr>_Toc92709793</vt:lpwstr>
      </vt:variant>
      <vt:variant>
        <vt:i4>1048638</vt:i4>
      </vt:variant>
      <vt:variant>
        <vt:i4>44</vt:i4>
      </vt:variant>
      <vt:variant>
        <vt:i4>0</vt:i4>
      </vt:variant>
      <vt:variant>
        <vt:i4>5</vt:i4>
      </vt:variant>
      <vt:variant>
        <vt:lpwstr/>
      </vt:variant>
      <vt:variant>
        <vt:lpwstr>_Toc92709792</vt:lpwstr>
      </vt:variant>
      <vt:variant>
        <vt:i4>1245246</vt:i4>
      </vt:variant>
      <vt:variant>
        <vt:i4>38</vt:i4>
      </vt:variant>
      <vt:variant>
        <vt:i4>0</vt:i4>
      </vt:variant>
      <vt:variant>
        <vt:i4>5</vt:i4>
      </vt:variant>
      <vt:variant>
        <vt:lpwstr/>
      </vt:variant>
      <vt:variant>
        <vt:lpwstr>_Toc92709791</vt:lpwstr>
      </vt:variant>
      <vt:variant>
        <vt:i4>1179710</vt:i4>
      </vt:variant>
      <vt:variant>
        <vt:i4>32</vt:i4>
      </vt:variant>
      <vt:variant>
        <vt:i4>0</vt:i4>
      </vt:variant>
      <vt:variant>
        <vt:i4>5</vt:i4>
      </vt:variant>
      <vt:variant>
        <vt:lpwstr/>
      </vt:variant>
      <vt:variant>
        <vt:lpwstr>_Toc92709790</vt:lpwstr>
      </vt:variant>
      <vt:variant>
        <vt:i4>1769535</vt:i4>
      </vt:variant>
      <vt:variant>
        <vt:i4>26</vt:i4>
      </vt:variant>
      <vt:variant>
        <vt:i4>0</vt:i4>
      </vt:variant>
      <vt:variant>
        <vt:i4>5</vt:i4>
      </vt:variant>
      <vt:variant>
        <vt:lpwstr/>
      </vt:variant>
      <vt:variant>
        <vt:lpwstr>_Toc92709789</vt:lpwstr>
      </vt:variant>
      <vt:variant>
        <vt:i4>1703999</vt:i4>
      </vt:variant>
      <vt:variant>
        <vt:i4>20</vt:i4>
      </vt:variant>
      <vt:variant>
        <vt:i4>0</vt:i4>
      </vt:variant>
      <vt:variant>
        <vt:i4>5</vt:i4>
      </vt:variant>
      <vt:variant>
        <vt:lpwstr/>
      </vt:variant>
      <vt:variant>
        <vt:lpwstr>_Toc92709788</vt:lpwstr>
      </vt:variant>
      <vt:variant>
        <vt:i4>1376319</vt:i4>
      </vt:variant>
      <vt:variant>
        <vt:i4>14</vt:i4>
      </vt:variant>
      <vt:variant>
        <vt:i4>0</vt:i4>
      </vt:variant>
      <vt:variant>
        <vt:i4>5</vt:i4>
      </vt:variant>
      <vt:variant>
        <vt:lpwstr/>
      </vt:variant>
      <vt:variant>
        <vt:lpwstr>_Toc92709787</vt:lpwstr>
      </vt:variant>
      <vt:variant>
        <vt:i4>1310783</vt:i4>
      </vt:variant>
      <vt:variant>
        <vt:i4>11</vt:i4>
      </vt:variant>
      <vt:variant>
        <vt:i4>0</vt:i4>
      </vt:variant>
      <vt:variant>
        <vt:i4>5</vt:i4>
      </vt:variant>
      <vt:variant>
        <vt:lpwstr/>
      </vt:variant>
      <vt:variant>
        <vt:lpwstr>_Toc92709786</vt:lpwstr>
      </vt:variant>
      <vt:variant>
        <vt:i4>1507391</vt:i4>
      </vt:variant>
      <vt:variant>
        <vt:i4>5</vt:i4>
      </vt:variant>
      <vt:variant>
        <vt:i4>0</vt:i4>
      </vt:variant>
      <vt:variant>
        <vt:i4>5</vt:i4>
      </vt:variant>
      <vt:variant>
        <vt:lpwstr/>
      </vt:variant>
      <vt:variant>
        <vt:lpwstr>_Toc92709785</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 completa dopo la legge di bilancio 2023</dc:title>
  <dc:subject/>
  <dc:creator>Paolo Ballanti</dc:creator>
  <cp:keywords/>
  <cp:lastModifiedBy>Fisco Tasse</cp:lastModifiedBy>
  <cp:revision>2</cp:revision>
  <cp:lastPrinted>2023-01-10T17:08:00Z</cp:lastPrinted>
  <dcterms:created xsi:type="dcterms:W3CDTF">2023-01-10T17:12:00Z</dcterms:created>
  <dcterms:modified xsi:type="dcterms:W3CDTF">2023-01-10T17:12:00Z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29171411b885b17a01874ecf41a27ffa0d8c312d3c0a9ddaf3c5a377f69c98ec</vt:lpwstr>
  </property>
</Properties>
</file>